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FD" w:rsidRPr="00C420F0" w:rsidRDefault="00C420F0" w:rsidP="00C420F0">
      <w:pPr>
        <w:pBdr>
          <w:top w:val="single" w:sz="4" w:space="1" w:color="auto"/>
          <w:left w:val="single" w:sz="4" w:space="4" w:color="auto"/>
          <w:bottom w:val="single" w:sz="4" w:space="1" w:color="auto"/>
          <w:right w:val="single" w:sz="4" w:space="4" w:color="auto"/>
        </w:pBdr>
        <w:jc w:val="both"/>
        <w:rPr>
          <w:b/>
          <w:sz w:val="36"/>
          <w:szCs w:val="36"/>
          <w:lang w:val="ca-ES"/>
        </w:rPr>
      </w:pPr>
      <w:bookmarkStart w:id="0" w:name="_GoBack"/>
      <w:bookmarkEnd w:id="0"/>
      <w:r w:rsidRPr="00C420F0">
        <w:rPr>
          <w:b/>
          <w:sz w:val="36"/>
          <w:szCs w:val="36"/>
          <w:lang w:val="ca-ES"/>
        </w:rPr>
        <w:t xml:space="preserve">Convocatòria d’ajuts del programa ERASMUS+ de mobilitat de professorat per a </w:t>
      </w:r>
      <w:r w:rsidR="00935BD1">
        <w:rPr>
          <w:b/>
          <w:sz w:val="36"/>
          <w:szCs w:val="36"/>
          <w:lang w:val="ca-ES"/>
        </w:rPr>
        <w:t>missions</w:t>
      </w:r>
      <w:r w:rsidRPr="00C420F0">
        <w:rPr>
          <w:b/>
          <w:sz w:val="36"/>
          <w:szCs w:val="36"/>
          <w:lang w:val="ca-ES"/>
        </w:rPr>
        <w:t xml:space="preserve"> docents (STA) 2014-15</w:t>
      </w:r>
    </w:p>
    <w:p w:rsidR="00C420F0" w:rsidRPr="00C420F0" w:rsidRDefault="00C420F0" w:rsidP="00C420F0">
      <w:pPr>
        <w:jc w:val="both"/>
        <w:rPr>
          <w:sz w:val="24"/>
          <w:szCs w:val="24"/>
          <w:lang w:val="ca-ES"/>
        </w:rPr>
      </w:pPr>
    </w:p>
    <w:p w:rsidR="00C420F0" w:rsidRPr="00C420F0" w:rsidRDefault="00C420F0" w:rsidP="00C420F0">
      <w:pPr>
        <w:jc w:val="both"/>
        <w:rPr>
          <w:sz w:val="24"/>
          <w:szCs w:val="24"/>
          <w:lang w:val="ca-ES"/>
        </w:rPr>
      </w:pPr>
      <w:r w:rsidRPr="00C420F0">
        <w:rPr>
          <w:sz w:val="24"/>
          <w:szCs w:val="24"/>
          <w:lang w:val="ca-ES"/>
        </w:rPr>
        <w:t xml:space="preserve">El Vicerectorat de Política Universitària convoca ajuts econòmics per finançar les </w:t>
      </w:r>
      <w:r w:rsidR="00935BD1">
        <w:rPr>
          <w:sz w:val="24"/>
          <w:szCs w:val="24"/>
          <w:lang w:val="ca-ES"/>
        </w:rPr>
        <w:t>missions</w:t>
      </w:r>
      <w:r w:rsidRPr="00C420F0">
        <w:rPr>
          <w:sz w:val="24"/>
          <w:szCs w:val="24"/>
          <w:lang w:val="ca-ES"/>
        </w:rPr>
        <w:t xml:space="preserve"> docents (STA) que es duguin a terme el curs acadèmic 2014-15 en el marc del programa ERASMUS+ de la Unió Europea.</w:t>
      </w:r>
    </w:p>
    <w:p w:rsidR="00C420F0" w:rsidRPr="00C420F0" w:rsidRDefault="00C420F0" w:rsidP="00C420F0">
      <w:pPr>
        <w:jc w:val="both"/>
        <w:rPr>
          <w:sz w:val="24"/>
          <w:szCs w:val="24"/>
          <w:lang w:val="ca-ES"/>
        </w:rPr>
      </w:pPr>
      <w:r w:rsidRPr="00C420F0">
        <w:rPr>
          <w:sz w:val="24"/>
          <w:szCs w:val="24"/>
          <w:lang w:val="ca-ES"/>
        </w:rPr>
        <w:t>L’objectiu del programa és:</w:t>
      </w:r>
    </w:p>
    <w:p w:rsidR="00C420F0" w:rsidRPr="00C420F0" w:rsidRDefault="00C420F0" w:rsidP="00C420F0">
      <w:pPr>
        <w:pStyle w:val="Pargrafdellista"/>
        <w:numPr>
          <w:ilvl w:val="0"/>
          <w:numId w:val="1"/>
        </w:numPr>
        <w:jc w:val="both"/>
        <w:rPr>
          <w:sz w:val="24"/>
          <w:szCs w:val="24"/>
          <w:lang w:val="ca-ES"/>
        </w:rPr>
      </w:pPr>
      <w:r w:rsidRPr="00C420F0">
        <w:rPr>
          <w:sz w:val="24"/>
          <w:szCs w:val="24"/>
          <w:lang w:val="ca-ES"/>
        </w:rPr>
        <w:t>Incrementar les capacitats i la dimensió internacional de la institució</w:t>
      </w:r>
    </w:p>
    <w:p w:rsidR="00C420F0" w:rsidRPr="00C420F0" w:rsidRDefault="00C420F0" w:rsidP="00C420F0">
      <w:pPr>
        <w:pStyle w:val="Pargrafdellista"/>
        <w:numPr>
          <w:ilvl w:val="0"/>
          <w:numId w:val="1"/>
        </w:numPr>
        <w:jc w:val="both"/>
        <w:rPr>
          <w:sz w:val="24"/>
          <w:szCs w:val="24"/>
          <w:lang w:val="ca-ES"/>
        </w:rPr>
      </w:pPr>
      <w:r w:rsidRPr="00C420F0">
        <w:rPr>
          <w:sz w:val="24"/>
          <w:szCs w:val="24"/>
          <w:lang w:val="ca-ES"/>
        </w:rPr>
        <w:t>Consolidar els vincles entre les universitats amb les quals hi ha convenis bilaterals de mobilitat d’estudiants en el marc del programa ERASMUS+ i oferir l’oportunitat de construir xarxes de contactes internacionals</w:t>
      </w:r>
    </w:p>
    <w:p w:rsidR="00C420F0" w:rsidRPr="00C420F0" w:rsidRDefault="00C420F0" w:rsidP="00C420F0">
      <w:pPr>
        <w:pStyle w:val="Pargrafdellista"/>
        <w:numPr>
          <w:ilvl w:val="0"/>
          <w:numId w:val="1"/>
        </w:numPr>
        <w:jc w:val="both"/>
        <w:rPr>
          <w:sz w:val="24"/>
          <w:szCs w:val="24"/>
          <w:lang w:val="ca-ES"/>
        </w:rPr>
      </w:pPr>
      <w:r w:rsidRPr="00C420F0">
        <w:rPr>
          <w:sz w:val="24"/>
          <w:szCs w:val="24"/>
          <w:lang w:val="ca-ES"/>
        </w:rPr>
        <w:t>Promoure l’intercanvi d’experiències en metodologia docent</w:t>
      </w:r>
    </w:p>
    <w:p w:rsidR="00C420F0" w:rsidRPr="00C420F0" w:rsidRDefault="00C420F0" w:rsidP="00C420F0">
      <w:pPr>
        <w:pStyle w:val="Pargrafdellista"/>
        <w:numPr>
          <w:ilvl w:val="0"/>
          <w:numId w:val="1"/>
        </w:numPr>
        <w:jc w:val="both"/>
        <w:rPr>
          <w:sz w:val="24"/>
          <w:szCs w:val="24"/>
          <w:lang w:val="ca-ES"/>
        </w:rPr>
      </w:pPr>
      <w:r w:rsidRPr="00C420F0">
        <w:rPr>
          <w:sz w:val="24"/>
          <w:szCs w:val="24"/>
          <w:lang w:val="ca-ES"/>
        </w:rPr>
        <w:t>Millorar el desenvolupament acadèmic del personal docent de la Universitat i la competència en llengües estrangeres</w:t>
      </w:r>
    </w:p>
    <w:p w:rsidR="00C420F0" w:rsidRDefault="00C420F0" w:rsidP="00C420F0">
      <w:pPr>
        <w:pStyle w:val="Pargrafdellista"/>
        <w:numPr>
          <w:ilvl w:val="0"/>
          <w:numId w:val="1"/>
        </w:numPr>
        <w:jc w:val="both"/>
        <w:rPr>
          <w:sz w:val="24"/>
          <w:szCs w:val="24"/>
          <w:lang w:val="ca-ES"/>
        </w:rPr>
      </w:pPr>
      <w:r w:rsidRPr="00C420F0">
        <w:rPr>
          <w:sz w:val="24"/>
          <w:szCs w:val="24"/>
          <w:lang w:val="ca-ES"/>
        </w:rPr>
        <w:t>Afavorir l’adquisició de competències</w:t>
      </w:r>
    </w:p>
    <w:p w:rsidR="00586DAF" w:rsidRPr="00C420F0" w:rsidRDefault="00586DAF" w:rsidP="00586DAF">
      <w:pPr>
        <w:pStyle w:val="Pargrafdellista"/>
        <w:jc w:val="both"/>
        <w:rPr>
          <w:sz w:val="24"/>
          <w:szCs w:val="24"/>
          <w:lang w:val="ca-ES"/>
        </w:rPr>
      </w:pPr>
    </w:p>
    <w:p w:rsidR="00C420F0" w:rsidRPr="00C420F0" w:rsidRDefault="00C420F0" w:rsidP="00C420F0">
      <w:pPr>
        <w:jc w:val="both"/>
        <w:rPr>
          <w:b/>
          <w:sz w:val="24"/>
          <w:szCs w:val="24"/>
          <w:lang w:val="ca-ES"/>
        </w:rPr>
      </w:pPr>
      <w:r w:rsidRPr="00C420F0">
        <w:rPr>
          <w:b/>
          <w:sz w:val="24"/>
          <w:szCs w:val="24"/>
          <w:lang w:val="ca-ES"/>
        </w:rPr>
        <w:t>I.- OBJECTE DELS AJUTS</w:t>
      </w:r>
    </w:p>
    <w:p w:rsidR="00A334DB" w:rsidRDefault="00C420F0" w:rsidP="00C420F0">
      <w:pPr>
        <w:jc w:val="both"/>
        <w:rPr>
          <w:sz w:val="24"/>
          <w:szCs w:val="24"/>
          <w:lang w:val="ca-ES"/>
        </w:rPr>
      </w:pPr>
      <w:r w:rsidRPr="00C420F0">
        <w:rPr>
          <w:sz w:val="24"/>
          <w:szCs w:val="24"/>
          <w:lang w:val="ca-ES"/>
        </w:rPr>
        <w:t>Els ajuts es destinen a cobrir part de les despeses de viatge i manutenció per impartir docència</w:t>
      </w:r>
      <w:r w:rsidR="0078690C">
        <w:rPr>
          <w:sz w:val="24"/>
          <w:szCs w:val="24"/>
          <w:lang w:val="ca-ES"/>
        </w:rPr>
        <w:t xml:space="preserve"> dins d’un pla d’es</w:t>
      </w:r>
      <w:r w:rsidR="00ED4B33">
        <w:rPr>
          <w:sz w:val="24"/>
          <w:szCs w:val="24"/>
          <w:lang w:val="ca-ES"/>
        </w:rPr>
        <w:t>tudis oficial de grau superior,</w:t>
      </w:r>
      <w:r w:rsidR="0078690C">
        <w:rPr>
          <w:sz w:val="24"/>
          <w:szCs w:val="24"/>
          <w:lang w:val="ca-ES"/>
        </w:rPr>
        <w:t xml:space="preserve"> màster</w:t>
      </w:r>
      <w:r w:rsidR="00ED4B33">
        <w:rPr>
          <w:sz w:val="24"/>
          <w:szCs w:val="24"/>
          <w:lang w:val="ca-ES"/>
        </w:rPr>
        <w:t xml:space="preserve"> o doctorat, cas que impliqui impartició de docència</w:t>
      </w:r>
      <w:r w:rsidRPr="00C420F0">
        <w:rPr>
          <w:sz w:val="24"/>
          <w:szCs w:val="24"/>
          <w:lang w:val="ca-ES"/>
        </w:rPr>
        <w:t xml:space="preserve"> </w:t>
      </w:r>
      <w:r w:rsidR="0078690C">
        <w:rPr>
          <w:sz w:val="24"/>
          <w:szCs w:val="24"/>
          <w:lang w:val="ca-ES"/>
        </w:rPr>
        <w:t>a</w:t>
      </w:r>
      <w:r w:rsidRPr="00C420F0">
        <w:rPr>
          <w:sz w:val="24"/>
          <w:szCs w:val="24"/>
          <w:lang w:val="ca-ES"/>
        </w:rPr>
        <w:t xml:space="preserve"> universitats amb les quals hi hagi un acord</w:t>
      </w:r>
      <w:r w:rsidR="0078690C">
        <w:rPr>
          <w:sz w:val="24"/>
          <w:szCs w:val="24"/>
          <w:lang w:val="ca-ES"/>
        </w:rPr>
        <w:t xml:space="preserve"> interinstitucional</w:t>
      </w:r>
      <w:r w:rsidRPr="00C420F0">
        <w:rPr>
          <w:sz w:val="24"/>
          <w:szCs w:val="24"/>
          <w:lang w:val="ca-ES"/>
        </w:rPr>
        <w:t xml:space="preserve"> ERASMUS+</w:t>
      </w:r>
      <w:r w:rsidR="0078690C">
        <w:rPr>
          <w:sz w:val="24"/>
          <w:szCs w:val="24"/>
          <w:lang w:val="ca-ES"/>
        </w:rPr>
        <w:t>,</w:t>
      </w:r>
      <w:r w:rsidRPr="00C420F0">
        <w:rPr>
          <w:sz w:val="24"/>
          <w:szCs w:val="24"/>
          <w:lang w:val="ca-ES"/>
        </w:rPr>
        <w:t xml:space="preserve"> </w:t>
      </w:r>
      <w:r w:rsidR="0078690C">
        <w:rPr>
          <w:sz w:val="24"/>
          <w:szCs w:val="24"/>
          <w:lang w:val="ca-ES"/>
        </w:rPr>
        <w:t xml:space="preserve">amb una institució amb Carta Erasmus, </w:t>
      </w:r>
      <w:r w:rsidRPr="00C420F0">
        <w:rPr>
          <w:sz w:val="24"/>
          <w:szCs w:val="24"/>
          <w:lang w:val="ca-ES"/>
        </w:rPr>
        <w:t>establert per a mobilitat de professorat per a docència per al curs acadèmic 2014-15.</w:t>
      </w:r>
    </w:p>
    <w:p w:rsidR="00586DAF" w:rsidRPr="00C420F0" w:rsidRDefault="00586DAF" w:rsidP="00C420F0">
      <w:pPr>
        <w:jc w:val="both"/>
        <w:rPr>
          <w:sz w:val="24"/>
          <w:szCs w:val="24"/>
          <w:lang w:val="ca-ES"/>
        </w:rPr>
      </w:pPr>
    </w:p>
    <w:p w:rsidR="00C420F0" w:rsidRPr="00C420F0" w:rsidRDefault="00C420F0" w:rsidP="00C420F0">
      <w:pPr>
        <w:jc w:val="both"/>
        <w:rPr>
          <w:b/>
          <w:sz w:val="24"/>
          <w:szCs w:val="24"/>
          <w:lang w:val="ca-ES"/>
        </w:rPr>
      </w:pPr>
      <w:r w:rsidRPr="00C420F0">
        <w:rPr>
          <w:b/>
          <w:sz w:val="24"/>
          <w:szCs w:val="24"/>
          <w:lang w:val="ca-ES"/>
        </w:rPr>
        <w:t>II.- DURADA</w:t>
      </w:r>
    </w:p>
    <w:p w:rsidR="00C420F0" w:rsidRPr="00C420F0" w:rsidRDefault="00C420F0" w:rsidP="00C420F0">
      <w:pPr>
        <w:jc w:val="both"/>
        <w:rPr>
          <w:sz w:val="24"/>
          <w:szCs w:val="24"/>
          <w:lang w:val="ca-ES"/>
        </w:rPr>
      </w:pPr>
      <w:r w:rsidRPr="00C420F0">
        <w:rPr>
          <w:sz w:val="24"/>
          <w:szCs w:val="24"/>
          <w:lang w:val="ca-ES"/>
        </w:rPr>
        <w:t>La durada mínima és de 2 dies i la màxima de 2 mesos, però, d’acord amb les directrius de l’Organisme Autònom de Projectes Educatius Europeus</w:t>
      </w:r>
      <w:r w:rsidR="00ED4B33">
        <w:rPr>
          <w:sz w:val="24"/>
          <w:szCs w:val="24"/>
          <w:lang w:val="ca-ES"/>
        </w:rPr>
        <w:t>, en endavant OAPEE</w:t>
      </w:r>
      <w:r w:rsidRPr="00C420F0">
        <w:rPr>
          <w:sz w:val="24"/>
          <w:szCs w:val="24"/>
          <w:lang w:val="ca-ES"/>
        </w:rPr>
        <w:t>, el nombre màxim de dies finançats</w:t>
      </w:r>
      <w:r w:rsidR="00B472BC">
        <w:rPr>
          <w:sz w:val="24"/>
          <w:szCs w:val="24"/>
          <w:lang w:val="ca-ES"/>
        </w:rPr>
        <w:t xml:space="preserve"> serà de 5 (s’exclouen els dies de viatge). En qualsevol cas, és obligatori impartir com a mínim 8 hores de docència a la universitat de destinació. Al programa d’ensenyament definitiu i al certificat d’estada, s’hauran d’especificar els dies complets de doc</w:t>
      </w:r>
      <w:r w:rsidR="00ED4B33">
        <w:rPr>
          <w:sz w:val="24"/>
          <w:szCs w:val="24"/>
          <w:lang w:val="ca-ES"/>
        </w:rPr>
        <w:t>ència impartida</w:t>
      </w:r>
      <w:r w:rsidR="00C60499">
        <w:rPr>
          <w:sz w:val="24"/>
          <w:szCs w:val="24"/>
          <w:lang w:val="ca-ES"/>
        </w:rPr>
        <w:t>.</w:t>
      </w:r>
    </w:p>
    <w:p w:rsidR="00B472BC" w:rsidRDefault="00C420F0" w:rsidP="00C420F0">
      <w:pPr>
        <w:jc w:val="both"/>
        <w:rPr>
          <w:sz w:val="24"/>
          <w:szCs w:val="24"/>
          <w:lang w:val="ca-ES"/>
        </w:rPr>
      </w:pPr>
      <w:r w:rsidRPr="00C420F0">
        <w:rPr>
          <w:sz w:val="24"/>
          <w:szCs w:val="24"/>
          <w:lang w:val="ca-ES"/>
        </w:rPr>
        <w:t xml:space="preserve">El període per fer una visita docent s’estableix entre l’1 </w:t>
      </w:r>
      <w:r w:rsidR="00ED4B33">
        <w:rPr>
          <w:sz w:val="24"/>
          <w:szCs w:val="24"/>
          <w:lang w:val="ca-ES"/>
        </w:rPr>
        <w:t>d’octubre</w:t>
      </w:r>
      <w:r w:rsidRPr="00C420F0">
        <w:rPr>
          <w:sz w:val="24"/>
          <w:szCs w:val="24"/>
          <w:lang w:val="ca-ES"/>
        </w:rPr>
        <w:t xml:space="preserve"> de 2014 i el 30 de setembre de 2015.</w:t>
      </w:r>
      <w:r w:rsidR="00ED4B33">
        <w:rPr>
          <w:sz w:val="24"/>
          <w:szCs w:val="24"/>
          <w:lang w:val="ca-ES"/>
        </w:rPr>
        <w:t xml:space="preserve"> Cas de mobilitats ja realitzades, es tindran en compte en </w:t>
      </w:r>
      <w:r w:rsidR="00A333FE">
        <w:rPr>
          <w:sz w:val="24"/>
          <w:szCs w:val="24"/>
          <w:lang w:val="ca-ES"/>
        </w:rPr>
        <w:t>igualtat</w:t>
      </w:r>
      <w:r w:rsidR="00ED4B33">
        <w:rPr>
          <w:sz w:val="24"/>
          <w:szCs w:val="24"/>
          <w:lang w:val="ca-ES"/>
        </w:rPr>
        <w:t xml:space="preserve"> de </w:t>
      </w:r>
      <w:r w:rsidR="00ED4B33">
        <w:rPr>
          <w:sz w:val="24"/>
          <w:szCs w:val="24"/>
          <w:lang w:val="ca-ES"/>
        </w:rPr>
        <w:lastRenderedPageBreak/>
        <w:t xml:space="preserve">condicions a la resta de </w:t>
      </w:r>
      <w:r w:rsidR="00A333FE">
        <w:rPr>
          <w:sz w:val="24"/>
          <w:szCs w:val="24"/>
          <w:lang w:val="ca-ES"/>
        </w:rPr>
        <w:t>sol·licituds</w:t>
      </w:r>
      <w:r w:rsidR="00ED4B33">
        <w:rPr>
          <w:sz w:val="24"/>
          <w:szCs w:val="24"/>
          <w:lang w:val="ca-ES"/>
        </w:rPr>
        <w:t xml:space="preserve">, sempre i quan compleixin amb tots els requisits de la convocatòria, hi hagi una </w:t>
      </w:r>
      <w:r w:rsidR="00A333FE">
        <w:rPr>
          <w:sz w:val="24"/>
          <w:szCs w:val="24"/>
          <w:lang w:val="ca-ES"/>
        </w:rPr>
        <w:t>sol·licitud</w:t>
      </w:r>
      <w:r w:rsidR="00ED4B33">
        <w:rPr>
          <w:sz w:val="24"/>
          <w:szCs w:val="24"/>
          <w:lang w:val="ca-ES"/>
        </w:rPr>
        <w:t xml:space="preserve"> en temps i forma i aportin la documentació requerida</w:t>
      </w:r>
      <w:r w:rsidR="0078690C">
        <w:rPr>
          <w:sz w:val="24"/>
          <w:szCs w:val="24"/>
          <w:lang w:val="ca-ES"/>
        </w:rPr>
        <w:t>.</w:t>
      </w:r>
    </w:p>
    <w:p w:rsidR="00510F9D" w:rsidRDefault="00510F9D" w:rsidP="00C420F0">
      <w:pPr>
        <w:jc w:val="both"/>
        <w:rPr>
          <w:sz w:val="24"/>
          <w:szCs w:val="24"/>
          <w:lang w:val="ca-ES"/>
        </w:rPr>
      </w:pPr>
    </w:p>
    <w:p w:rsidR="00047C22" w:rsidRDefault="00047C22" w:rsidP="00C420F0">
      <w:pPr>
        <w:jc w:val="both"/>
        <w:rPr>
          <w:b/>
          <w:sz w:val="24"/>
          <w:szCs w:val="24"/>
          <w:lang w:val="ca-ES"/>
        </w:rPr>
      </w:pPr>
      <w:r w:rsidRPr="00047C22">
        <w:rPr>
          <w:b/>
          <w:sz w:val="24"/>
          <w:szCs w:val="24"/>
          <w:lang w:val="ca-ES"/>
        </w:rPr>
        <w:t>III. BENEFICIARIS</w:t>
      </w:r>
    </w:p>
    <w:p w:rsidR="00ED4B33" w:rsidRDefault="00047C22" w:rsidP="00F4719D">
      <w:pPr>
        <w:jc w:val="both"/>
        <w:rPr>
          <w:sz w:val="24"/>
          <w:szCs w:val="24"/>
          <w:lang w:val="ca-ES"/>
        </w:rPr>
      </w:pPr>
      <w:r>
        <w:rPr>
          <w:sz w:val="24"/>
          <w:szCs w:val="24"/>
          <w:lang w:val="ca-ES"/>
        </w:rPr>
        <w:t>Podrà ser beneficiari d’aquests ajuts</w:t>
      </w:r>
      <w:r w:rsidR="00F4719D">
        <w:rPr>
          <w:sz w:val="24"/>
          <w:szCs w:val="24"/>
          <w:lang w:val="ca-ES"/>
        </w:rPr>
        <w:t xml:space="preserve"> </w:t>
      </w:r>
      <w:r w:rsidRPr="00F4719D">
        <w:rPr>
          <w:sz w:val="24"/>
          <w:szCs w:val="24"/>
          <w:lang w:val="ca-ES"/>
        </w:rPr>
        <w:t xml:space="preserve">el personal docent </w:t>
      </w:r>
      <w:r w:rsidR="00ED4B33">
        <w:rPr>
          <w:sz w:val="24"/>
          <w:szCs w:val="24"/>
          <w:lang w:val="ca-ES"/>
        </w:rPr>
        <w:t xml:space="preserve">i investigador </w:t>
      </w:r>
      <w:r w:rsidRPr="00F4719D">
        <w:rPr>
          <w:sz w:val="24"/>
          <w:szCs w:val="24"/>
          <w:lang w:val="ca-ES"/>
        </w:rPr>
        <w:t>de centres propis i adscrits de la UPC, sempre que</w:t>
      </w:r>
      <w:r w:rsidR="00F4719D">
        <w:rPr>
          <w:sz w:val="24"/>
          <w:szCs w:val="24"/>
          <w:lang w:val="ca-ES"/>
        </w:rPr>
        <w:t>:</w:t>
      </w:r>
    </w:p>
    <w:p w:rsidR="00ED4B33" w:rsidRDefault="00281938" w:rsidP="00F4719D">
      <w:pPr>
        <w:pStyle w:val="Pargrafdellista"/>
        <w:numPr>
          <w:ilvl w:val="0"/>
          <w:numId w:val="6"/>
        </w:numPr>
        <w:jc w:val="both"/>
        <w:rPr>
          <w:sz w:val="24"/>
          <w:szCs w:val="24"/>
          <w:lang w:val="ca-ES"/>
        </w:rPr>
      </w:pPr>
      <w:r>
        <w:rPr>
          <w:sz w:val="24"/>
          <w:szCs w:val="24"/>
          <w:lang w:val="ca-ES"/>
        </w:rPr>
        <w:t>e</w:t>
      </w:r>
      <w:r w:rsidR="00ED4B33">
        <w:rPr>
          <w:sz w:val="24"/>
          <w:szCs w:val="24"/>
          <w:lang w:val="ca-ES"/>
        </w:rPr>
        <w:t>stiguin en situació administrativa activa i percebin una nòmina de la UPC,</w:t>
      </w:r>
    </w:p>
    <w:p w:rsidR="00B472BC" w:rsidRPr="00F4719D" w:rsidRDefault="00047C22" w:rsidP="00F4719D">
      <w:pPr>
        <w:pStyle w:val="Pargrafdellista"/>
        <w:numPr>
          <w:ilvl w:val="0"/>
          <w:numId w:val="6"/>
        </w:numPr>
        <w:jc w:val="both"/>
        <w:rPr>
          <w:sz w:val="24"/>
          <w:szCs w:val="24"/>
          <w:lang w:val="ca-ES"/>
        </w:rPr>
      </w:pPr>
      <w:r w:rsidRPr="00F4719D">
        <w:rPr>
          <w:sz w:val="24"/>
          <w:szCs w:val="24"/>
          <w:lang w:val="ca-ES"/>
        </w:rPr>
        <w:t>tinguin la nacionalitat d’un país de la UE o d’un país participant en el programa Erasmus+</w:t>
      </w:r>
      <w:r w:rsidR="00281938">
        <w:rPr>
          <w:rStyle w:val="Refernciadenotaapeudepgina"/>
          <w:sz w:val="24"/>
          <w:szCs w:val="24"/>
          <w:lang w:val="ca-ES"/>
        </w:rPr>
        <w:footnoteReference w:id="1"/>
      </w:r>
      <w:r w:rsidRPr="00F4719D">
        <w:rPr>
          <w:sz w:val="24"/>
          <w:szCs w:val="24"/>
          <w:lang w:val="ca-ES"/>
        </w:rPr>
        <w:t>. En el cas de tenir nacionalitat de tercers països, cal acreditar que es té un per</w:t>
      </w:r>
      <w:r w:rsidR="00ED4B33">
        <w:rPr>
          <w:sz w:val="24"/>
          <w:szCs w:val="24"/>
          <w:lang w:val="ca-ES"/>
        </w:rPr>
        <w:t>mís vàlid per residir a Espanya, durant el període que es realitza la mobilitat</w:t>
      </w:r>
      <w:r w:rsidR="00281938">
        <w:rPr>
          <w:sz w:val="24"/>
          <w:szCs w:val="24"/>
          <w:lang w:val="ca-ES"/>
        </w:rPr>
        <w:t>,</w:t>
      </w:r>
    </w:p>
    <w:p w:rsidR="00F4719D" w:rsidRDefault="00281938" w:rsidP="00F4719D">
      <w:pPr>
        <w:pStyle w:val="Pargrafdellista"/>
        <w:numPr>
          <w:ilvl w:val="0"/>
          <w:numId w:val="6"/>
        </w:numPr>
        <w:jc w:val="both"/>
        <w:rPr>
          <w:sz w:val="24"/>
          <w:szCs w:val="24"/>
          <w:lang w:val="ca-ES"/>
        </w:rPr>
      </w:pPr>
      <w:r>
        <w:rPr>
          <w:sz w:val="24"/>
          <w:szCs w:val="24"/>
          <w:lang w:val="ca-ES"/>
        </w:rPr>
        <w:t>i</w:t>
      </w:r>
      <w:r w:rsidR="00F4719D">
        <w:rPr>
          <w:sz w:val="24"/>
          <w:szCs w:val="24"/>
          <w:lang w:val="ca-ES"/>
        </w:rPr>
        <w:t>mparteixi</w:t>
      </w:r>
      <w:r w:rsidR="00ED4B33">
        <w:rPr>
          <w:sz w:val="24"/>
          <w:szCs w:val="24"/>
          <w:lang w:val="ca-ES"/>
        </w:rPr>
        <w:t>n</w:t>
      </w:r>
      <w:r w:rsidR="00F4719D">
        <w:rPr>
          <w:sz w:val="24"/>
          <w:szCs w:val="24"/>
          <w:lang w:val="ca-ES"/>
        </w:rPr>
        <w:t xml:space="preserve"> ensenyaments dins d’un pla d’estudis oficial de la UPC durant el curs acadèmic 2014-15</w:t>
      </w:r>
      <w:r>
        <w:rPr>
          <w:sz w:val="24"/>
          <w:szCs w:val="24"/>
          <w:lang w:val="ca-ES"/>
        </w:rPr>
        <w:t>,</w:t>
      </w:r>
    </w:p>
    <w:p w:rsidR="00F4719D" w:rsidRDefault="00F4719D" w:rsidP="00F4719D">
      <w:pPr>
        <w:pStyle w:val="Pargrafdellista"/>
        <w:numPr>
          <w:ilvl w:val="0"/>
          <w:numId w:val="6"/>
        </w:numPr>
        <w:jc w:val="both"/>
        <w:rPr>
          <w:sz w:val="24"/>
          <w:szCs w:val="24"/>
          <w:lang w:val="ca-ES"/>
        </w:rPr>
      </w:pPr>
      <w:r>
        <w:rPr>
          <w:sz w:val="24"/>
          <w:szCs w:val="24"/>
          <w:lang w:val="ca-ES"/>
        </w:rPr>
        <w:t>durant la seva estada el docent s’integri en el departament o facul</w:t>
      </w:r>
      <w:r w:rsidR="00ED4B33">
        <w:rPr>
          <w:sz w:val="24"/>
          <w:szCs w:val="24"/>
          <w:lang w:val="ca-ES"/>
        </w:rPr>
        <w:t>tat de la institució d’acollida,</w:t>
      </w:r>
    </w:p>
    <w:p w:rsidR="00F4719D" w:rsidRDefault="00ED4B33" w:rsidP="00F4719D">
      <w:pPr>
        <w:pStyle w:val="Pargrafdellista"/>
        <w:numPr>
          <w:ilvl w:val="0"/>
          <w:numId w:val="6"/>
        </w:numPr>
        <w:jc w:val="both"/>
        <w:rPr>
          <w:sz w:val="24"/>
          <w:szCs w:val="24"/>
          <w:lang w:val="ca-ES"/>
        </w:rPr>
      </w:pPr>
      <w:r>
        <w:rPr>
          <w:sz w:val="24"/>
          <w:szCs w:val="24"/>
          <w:lang w:val="ca-ES"/>
        </w:rPr>
        <w:t>e</w:t>
      </w:r>
      <w:r w:rsidR="00F4719D">
        <w:rPr>
          <w:sz w:val="24"/>
          <w:szCs w:val="24"/>
          <w:lang w:val="ca-ES"/>
        </w:rPr>
        <w:t xml:space="preserve">xisteixi un acord </w:t>
      </w:r>
      <w:r>
        <w:rPr>
          <w:sz w:val="24"/>
          <w:szCs w:val="24"/>
          <w:lang w:val="ca-ES"/>
        </w:rPr>
        <w:t xml:space="preserve">interinstitucional Erasmus que inclogui </w:t>
      </w:r>
      <w:r w:rsidR="00F4719D">
        <w:rPr>
          <w:sz w:val="24"/>
          <w:szCs w:val="24"/>
          <w:lang w:val="ca-ES"/>
        </w:rPr>
        <w:t>les activitats que realitzarà el beneficiari.</w:t>
      </w:r>
    </w:p>
    <w:p w:rsidR="00A334DB" w:rsidRPr="00F4719D" w:rsidRDefault="00A334DB" w:rsidP="00A334DB">
      <w:pPr>
        <w:pStyle w:val="Pargrafdellista"/>
        <w:jc w:val="both"/>
        <w:rPr>
          <w:sz w:val="24"/>
          <w:szCs w:val="24"/>
          <w:lang w:val="ca-ES"/>
        </w:rPr>
      </w:pPr>
    </w:p>
    <w:p w:rsidR="00B472BC" w:rsidRDefault="00047C22" w:rsidP="00C420F0">
      <w:pPr>
        <w:jc w:val="both"/>
        <w:rPr>
          <w:b/>
          <w:sz w:val="24"/>
          <w:szCs w:val="24"/>
          <w:lang w:val="ca-ES"/>
        </w:rPr>
      </w:pPr>
      <w:r>
        <w:rPr>
          <w:b/>
          <w:sz w:val="24"/>
          <w:szCs w:val="24"/>
          <w:lang w:val="ca-ES"/>
        </w:rPr>
        <w:t>V</w:t>
      </w:r>
      <w:r w:rsidR="00B472BC" w:rsidRPr="00B472BC">
        <w:rPr>
          <w:b/>
          <w:sz w:val="24"/>
          <w:szCs w:val="24"/>
          <w:lang w:val="ca-ES"/>
        </w:rPr>
        <w:t>I.- SOL.LICITUD</w:t>
      </w:r>
    </w:p>
    <w:p w:rsidR="00B472BC" w:rsidRDefault="00237168" w:rsidP="00C420F0">
      <w:pPr>
        <w:jc w:val="both"/>
        <w:rPr>
          <w:sz w:val="24"/>
          <w:szCs w:val="24"/>
          <w:lang w:val="ca-ES"/>
        </w:rPr>
      </w:pPr>
      <w:r>
        <w:rPr>
          <w:sz w:val="24"/>
          <w:szCs w:val="24"/>
          <w:lang w:val="ca-ES"/>
        </w:rPr>
        <w:t>Les sol·</w:t>
      </w:r>
      <w:r w:rsidR="00B472BC">
        <w:rPr>
          <w:sz w:val="24"/>
          <w:szCs w:val="24"/>
          <w:lang w:val="ca-ES"/>
        </w:rPr>
        <w:t xml:space="preserve">licituds s’han de presentar </w:t>
      </w:r>
      <w:r w:rsidR="00ED4B33">
        <w:rPr>
          <w:sz w:val="24"/>
          <w:szCs w:val="24"/>
          <w:lang w:val="ca-ES"/>
        </w:rPr>
        <w:t>a les sotsdireccions/vicedeganats de Relacions Internacionals d’un dels</w:t>
      </w:r>
      <w:r w:rsidR="0078690C">
        <w:rPr>
          <w:sz w:val="24"/>
          <w:szCs w:val="24"/>
          <w:lang w:val="ca-ES"/>
        </w:rPr>
        <w:t xml:space="preserve"> Centres Docents</w:t>
      </w:r>
      <w:r w:rsidR="00ED4B33">
        <w:rPr>
          <w:sz w:val="24"/>
          <w:szCs w:val="24"/>
          <w:lang w:val="ca-ES"/>
        </w:rPr>
        <w:t xml:space="preserve"> als quals estigui vinculat el PDI abans del proper dia 28</w:t>
      </w:r>
      <w:r w:rsidR="00B472BC">
        <w:rPr>
          <w:sz w:val="24"/>
          <w:szCs w:val="24"/>
          <w:lang w:val="ca-ES"/>
        </w:rPr>
        <w:t xml:space="preserve"> de novembre</w:t>
      </w:r>
      <w:r w:rsidR="00F4719D">
        <w:rPr>
          <w:sz w:val="24"/>
          <w:szCs w:val="24"/>
          <w:lang w:val="ca-ES"/>
        </w:rPr>
        <w:t xml:space="preserve"> i han d’estar avalades amb el vist-i-plau del Director del Departament</w:t>
      </w:r>
      <w:r w:rsidR="00B472BC">
        <w:rPr>
          <w:sz w:val="24"/>
          <w:szCs w:val="24"/>
          <w:lang w:val="ca-ES"/>
        </w:rPr>
        <w:t xml:space="preserve">. </w:t>
      </w:r>
      <w:r w:rsidR="0078690C">
        <w:rPr>
          <w:sz w:val="24"/>
          <w:szCs w:val="24"/>
          <w:lang w:val="ca-ES"/>
        </w:rPr>
        <w:t xml:space="preserve">Cada Centre valorarà les </w:t>
      </w:r>
      <w:r w:rsidR="00F4719D">
        <w:rPr>
          <w:sz w:val="24"/>
          <w:szCs w:val="24"/>
          <w:lang w:val="ca-ES"/>
        </w:rPr>
        <w:t>sol·licituds</w:t>
      </w:r>
      <w:r w:rsidR="0078690C">
        <w:rPr>
          <w:sz w:val="24"/>
          <w:szCs w:val="24"/>
          <w:lang w:val="ca-ES"/>
        </w:rPr>
        <w:t xml:space="preserve"> </w:t>
      </w:r>
      <w:r w:rsidR="00ED4B33">
        <w:rPr>
          <w:sz w:val="24"/>
          <w:szCs w:val="24"/>
          <w:lang w:val="ca-ES"/>
        </w:rPr>
        <w:t>que hagi rebut</w:t>
      </w:r>
      <w:r w:rsidR="0078690C">
        <w:rPr>
          <w:sz w:val="24"/>
          <w:szCs w:val="24"/>
          <w:lang w:val="ca-ES"/>
        </w:rPr>
        <w:t xml:space="preserve"> i</w:t>
      </w:r>
      <w:r w:rsidR="00CA3275">
        <w:rPr>
          <w:sz w:val="24"/>
          <w:szCs w:val="24"/>
          <w:lang w:val="ca-ES"/>
        </w:rPr>
        <w:t xml:space="preserve"> les remetrà a</w:t>
      </w:r>
      <w:r w:rsidR="00ED4B33">
        <w:rPr>
          <w:sz w:val="24"/>
          <w:szCs w:val="24"/>
          <w:lang w:val="ca-ES"/>
        </w:rPr>
        <w:t xml:space="preserve">l Gabinet de Relacions Institucionals i Internacionalització abans del </w:t>
      </w:r>
      <w:r w:rsidR="00586DAF">
        <w:rPr>
          <w:sz w:val="24"/>
          <w:szCs w:val="24"/>
          <w:lang w:val="ca-ES"/>
        </w:rPr>
        <w:t>5</w:t>
      </w:r>
      <w:r w:rsidR="0078690C">
        <w:rPr>
          <w:sz w:val="24"/>
          <w:szCs w:val="24"/>
          <w:lang w:val="ca-ES"/>
        </w:rPr>
        <w:t xml:space="preserve"> de </w:t>
      </w:r>
      <w:r w:rsidR="00ED4B33">
        <w:rPr>
          <w:sz w:val="24"/>
          <w:szCs w:val="24"/>
          <w:lang w:val="ca-ES"/>
        </w:rPr>
        <w:t>desembre</w:t>
      </w:r>
      <w:r w:rsidR="0078690C">
        <w:rPr>
          <w:sz w:val="24"/>
          <w:szCs w:val="24"/>
          <w:lang w:val="ca-ES"/>
        </w:rPr>
        <w:t xml:space="preserve">. </w:t>
      </w:r>
      <w:r w:rsidR="00B472BC">
        <w:rPr>
          <w:sz w:val="24"/>
          <w:szCs w:val="24"/>
          <w:lang w:val="ca-ES"/>
        </w:rPr>
        <w:t>Cas de no exhaurir el pressupost, s’obrirà</w:t>
      </w:r>
      <w:r w:rsidR="00047C22">
        <w:rPr>
          <w:sz w:val="24"/>
          <w:szCs w:val="24"/>
          <w:lang w:val="ca-ES"/>
        </w:rPr>
        <w:t xml:space="preserve"> una segona convocatòria al mes de </w:t>
      </w:r>
      <w:r w:rsidR="00ED4B33">
        <w:rPr>
          <w:sz w:val="24"/>
          <w:szCs w:val="24"/>
          <w:lang w:val="ca-ES"/>
        </w:rPr>
        <w:t xml:space="preserve">febrer </w:t>
      </w:r>
      <w:r w:rsidR="00047C22">
        <w:rPr>
          <w:sz w:val="24"/>
          <w:szCs w:val="24"/>
          <w:lang w:val="ca-ES"/>
        </w:rPr>
        <w:t>del 2015. Si malgrat les dues convocatòries, el pressupost no s’hagués exhaurit, sortiria una tercera convocatòria al mes d’abril de 2015.</w:t>
      </w:r>
    </w:p>
    <w:p w:rsidR="00047C22" w:rsidRDefault="00047C22" w:rsidP="00C420F0">
      <w:pPr>
        <w:jc w:val="both"/>
        <w:rPr>
          <w:sz w:val="24"/>
          <w:szCs w:val="24"/>
          <w:lang w:val="ca-ES"/>
        </w:rPr>
      </w:pPr>
      <w:r>
        <w:rPr>
          <w:sz w:val="24"/>
          <w:szCs w:val="24"/>
          <w:lang w:val="ca-ES"/>
        </w:rPr>
        <w:t>Les sol</w:t>
      </w:r>
      <w:r w:rsidR="00237168">
        <w:rPr>
          <w:sz w:val="24"/>
          <w:szCs w:val="24"/>
          <w:lang w:val="ca-ES"/>
        </w:rPr>
        <w:t>·</w:t>
      </w:r>
      <w:r>
        <w:rPr>
          <w:sz w:val="24"/>
          <w:szCs w:val="24"/>
          <w:lang w:val="ca-ES"/>
        </w:rPr>
        <w:t>licituds hauran d’incloure la següent documentació:</w:t>
      </w:r>
    </w:p>
    <w:p w:rsidR="00047C22" w:rsidRDefault="00237168" w:rsidP="00047C22">
      <w:pPr>
        <w:pStyle w:val="Pargrafdellista"/>
        <w:numPr>
          <w:ilvl w:val="0"/>
          <w:numId w:val="2"/>
        </w:numPr>
        <w:jc w:val="both"/>
        <w:rPr>
          <w:sz w:val="24"/>
          <w:szCs w:val="24"/>
          <w:lang w:val="ca-ES"/>
        </w:rPr>
      </w:pPr>
      <w:r>
        <w:rPr>
          <w:sz w:val="24"/>
          <w:szCs w:val="24"/>
          <w:lang w:val="ca-ES"/>
        </w:rPr>
        <w:t>Sol·</w:t>
      </w:r>
      <w:r w:rsidR="00047C22">
        <w:rPr>
          <w:sz w:val="24"/>
          <w:szCs w:val="24"/>
          <w:lang w:val="ca-ES"/>
        </w:rPr>
        <w:t>licitud (annex 1), degudam</w:t>
      </w:r>
      <w:r>
        <w:rPr>
          <w:sz w:val="24"/>
          <w:szCs w:val="24"/>
          <w:lang w:val="ca-ES"/>
        </w:rPr>
        <w:t>ent emplenada i signada pel sol·</w:t>
      </w:r>
      <w:r w:rsidR="00047C22">
        <w:rPr>
          <w:sz w:val="24"/>
          <w:szCs w:val="24"/>
          <w:lang w:val="ca-ES"/>
        </w:rPr>
        <w:t>licitant</w:t>
      </w:r>
      <w:r w:rsidR="00ED4B33">
        <w:rPr>
          <w:sz w:val="24"/>
          <w:szCs w:val="24"/>
          <w:lang w:val="ca-ES"/>
        </w:rPr>
        <w:t>, amb el vist-i-plau del Director del Departament.</w:t>
      </w:r>
      <w:r w:rsidR="00047C22">
        <w:rPr>
          <w:sz w:val="24"/>
          <w:szCs w:val="24"/>
          <w:lang w:val="ca-ES"/>
        </w:rPr>
        <w:t xml:space="preserve"> </w:t>
      </w:r>
    </w:p>
    <w:p w:rsidR="0078690C" w:rsidRDefault="0069583F" w:rsidP="00047C22">
      <w:pPr>
        <w:pStyle w:val="Pargrafdellista"/>
        <w:numPr>
          <w:ilvl w:val="0"/>
          <w:numId w:val="2"/>
        </w:numPr>
        <w:jc w:val="both"/>
        <w:rPr>
          <w:sz w:val="24"/>
          <w:szCs w:val="24"/>
          <w:lang w:val="ca-ES"/>
        </w:rPr>
      </w:pPr>
      <w:r>
        <w:rPr>
          <w:sz w:val="24"/>
          <w:szCs w:val="24"/>
          <w:lang w:val="ca-ES"/>
        </w:rPr>
        <w:t>Mobility Agreement</w:t>
      </w:r>
      <w:r w:rsidR="00ED4B33">
        <w:rPr>
          <w:sz w:val="24"/>
          <w:szCs w:val="24"/>
          <w:lang w:val="ca-ES"/>
        </w:rPr>
        <w:t xml:space="preserve"> </w:t>
      </w:r>
      <w:r w:rsidR="00281938">
        <w:rPr>
          <w:sz w:val="24"/>
          <w:szCs w:val="24"/>
          <w:lang w:val="ca-ES"/>
        </w:rPr>
        <w:t xml:space="preserve">(annexII) </w:t>
      </w:r>
      <w:r w:rsidR="00ED4B33">
        <w:rPr>
          <w:sz w:val="24"/>
          <w:szCs w:val="24"/>
          <w:lang w:val="ca-ES"/>
        </w:rPr>
        <w:t>degudament emplenat</w:t>
      </w:r>
      <w:r w:rsidR="00047C22">
        <w:rPr>
          <w:sz w:val="24"/>
          <w:szCs w:val="24"/>
          <w:lang w:val="ca-ES"/>
        </w:rPr>
        <w:t xml:space="preserve"> i amb el vist-i-plau de</w:t>
      </w:r>
      <w:r>
        <w:rPr>
          <w:sz w:val="24"/>
          <w:szCs w:val="24"/>
          <w:lang w:val="ca-ES"/>
        </w:rPr>
        <w:t>l Centre d’origen del sol.licitant i de</w:t>
      </w:r>
      <w:r w:rsidR="00047C22">
        <w:rPr>
          <w:sz w:val="24"/>
          <w:szCs w:val="24"/>
          <w:lang w:val="ca-ES"/>
        </w:rPr>
        <w:t xml:space="preserve"> la universitat de destinació. Abans de l’activitat, el programa de mobilitat definitiu ha de ser formalment acceptat per ambdues institucions.</w:t>
      </w:r>
      <w:r w:rsidR="00ED4B33">
        <w:rPr>
          <w:sz w:val="24"/>
          <w:szCs w:val="24"/>
          <w:lang w:val="ca-ES"/>
        </w:rPr>
        <w:t xml:space="preserve"> Serà vàlida una còpia escanejada, encara que, al finalitzar </w:t>
      </w:r>
      <w:r w:rsidR="00ED4B33">
        <w:rPr>
          <w:sz w:val="24"/>
          <w:szCs w:val="24"/>
          <w:lang w:val="ca-ES"/>
        </w:rPr>
        <w:lastRenderedPageBreak/>
        <w:t>l’estada s’haurà de lliurar l’original, juntament amb la resta de la documentació justificativa.</w:t>
      </w:r>
    </w:p>
    <w:p w:rsidR="00A334DB" w:rsidRDefault="00ED4B33" w:rsidP="00047C22">
      <w:pPr>
        <w:pStyle w:val="Pargrafdellista"/>
        <w:numPr>
          <w:ilvl w:val="0"/>
          <w:numId w:val="2"/>
        </w:numPr>
        <w:jc w:val="both"/>
        <w:rPr>
          <w:sz w:val="24"/>
          <w:szCs w:val="24"/>
          <w:lang w:val="ca-ES"/>
        </w:rPr>
      </w:pPr>
      <w:r>
        <w:rPr>
          <w:sz w:val="24"/>
          <w:szCs w:val="24"/>
          <w:lang w:val="ca-ES"/>
        </w:rPr>
        <w:t xml:space="preserve">El Centre Docent confirmarà a </w:t>
      </w:r>
      <w:r w:rsidR="00AC18AD">
        <w:rPr>
          <w:sz w:val="24"/>
          <w:szCs w:val="24"/>
          <w:lang w:val="ca-ES"/>
        </w:rPr>
        <w:t>l’imprès</w:t>
      </w:r>
      <w:r>
        <w:rPr>
          <w:sz w:val="24"/>
          <w:szCs w:val="24"/>
          <w:lang w:val="ca-ES"/>
        </w:rPr>
        <w:t xml:space="preserve"> de </w:t>
      </w:r>
      <w:r w:rsidR="00A333FE">
        <w:rPr>
          <w:sz w:val="24"/>
          <w:szCs w:val="24"/>
          <w:lang w:val="ca-ES"/>
        </w:rPr>
        <w:t>sol·licitud</w:t>
      </w:r>
      <w:r w:rsidR="00AC18AD">
        <w:rPr>
          <w:sz w:val="24"/>
          <w:szCs w:val="24"/>
          <w:lang w:val="ca-ES"/>
        </w:rPr>
        <w:t>, l’existència de l’acord interinstitucional vigent.</w:t>
      </w:r>
    </w:p>
    <w:p w:rsidR="00281938" w:rsidRPr="00281938" w:rsidRDefault="00281938" w:rsidP="00281938">
      <w:pPr>
        <w:pStyle w:val="Pargrafdellista"/>
        <w:jc w:val="both"/>
        <w:rPr>
          <w:sz w:val="24"/>
          <w:szCs w:val="24"/>
          <w:lang w:val="ca-ES"/>
        </w:rPr>
      </w:pPr>
    </w:p>
    <w:p w:rsidR="00047C22" w:rsidRDefault="00047C22" w:rsidP="00047C22">
      <w:pPr>
        <w:jc w:val="both"/>
        <w:rPr>
          <w:b/>
          <w:sz w:val="24"/>
          <w:szCs w:val="24"/>
          <w:lang w:val="ca-ES"/>
        </w:rPr>
      </w:pPr>
      <w:r w:rsidRPr="00047C22">
        <w:rPr>
          <w:b/>
          <w:sz w:val="24"/>
          <w:szCs w:val="24"/>
          <w:lang w:val="ca-ES"/>
        </w:rPr>
        <w:t>VII.- IMPORT DE L’AJUT</w:t>
      </w:r>
    </w:p>
    <w:p w:rsidR="00047C22" w:rsidRDefault="00047C22" w:rsidP="00047C22">
      <w:pPr>
        <w:jc w:val="both"/>
        <w:rPr>
          <w:sz w:val="24"/>
          <w:szCs w:val="24"/>
          <w:lang w:val="ca-ES"/>
        </w:rPr>
      </w:pPr>
      <w:r>
        <w:rPr>
          <w:sz w:val="24"/>
          <w:szCs w:val="24"/>
          <w:lang w:val="ca-ES"/>
        </w:rPr>
        <w:t>La Comissió Europea ha establert un ajut com a contribució a les despeses de viatge i manteniment durant el període d’estada del professor, seguint els criteris següents:</w:t>
      </w:r>
    </w:p>
    <w:p w:rsidR="00047C22" w:rsidRDefault="00047C22" w:rsidP="00047C22">
      <w:pPr>
        <w:pStyle w:val="Pargrafdellista"/>
        <w:numPr>
          <w:ilvl w:val="0"/>
          <w:numId w:val="3"/>
        </w:numPr>
        <w:jc w:val="both"/>
        <w:rPr>
          <w:sz w:val="24"/>
          <w:szCs w:val="24"/>
          <w:lang w:val="ca-ES"/>
        </w:rPr>
      </w:pPr>
      <w:r>
        <w:rPr>
          <w:sz w:val="24"/>
          <w:szCs w:val="24"/>
          <w:lang w:val="ca-ES"/>
        </w:rPr>
        <w:t xml:space="preserve">Viatge.- Contribució a les despeses de viatge basada en la distància entre </w:t>
      </w:r>
      <w:r w:rsidR="00AC18AD">
        <w:rPr>
          <w:sz w:val="24"/>
          <w:szCs w:val="24"/>
          <w:lang w:val="ca-ES"/>
        </w:rPr>
        <w:t xml:space="preserve">Centre Docent on ha presentat la seva </w:t>
      </w:r>
      <w:r w:rsidR="00A333FE">
        <w:rPr>
          <w:sz w:val="24"/>
          <w:szCs w:val="24"/>
          <w:lang w:val="ca-ES"/>
        </w:rPr>
        <w:t>sol·licitud</w:t>
      </w:r>
      <w:r>
        <w:rPr>
          <w:sz w:val="24"/>
          <w:szCs w:val="24"/>
          <w:lang w:val="ca-ES"/>
        </w:rPr>
        <w:t xml:space="preserve"> i el lloc on es desenvolupi l’activitat corresponent, d’acord amb el que s’indica a continuació</w:t>
      </w:r>
      <w:r w:rsidR="000C1330">
        <w:rPr>
          <w:sz w:val="24"/>
          <w:szCs w:val="24"/>
          <w:lang w:val="ca-ES"/>
        </w:rPr>
        <w:t xml:space="preserve"> (d’acord amb les instruccions de la Comissió Europea http://ec.europa.eu/programmes/erasmus-plus/tools/distance_en.htm)</w:t>
      </w:r>
    </w:p>
    <w:tbl>
      <w:tblPr>
        <w:tblW w:w="871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0"/>
        <w:gridCol w:w="4665"/>
      </w:tblGrid>
      <w:tr w:rsidR="00047C22" w:rsidTr="000C1330">
        <w:trPr>
          <w:trHeight w:val="300"/>
        </w:trPr>
        <w:tc>
          <w:tcPr>
            <w:tcW w:w="4050" w:type="dxa"/>
          </w:tcPr>
          <w:p w:rsidR="00047C22" w:rsidRDefault="000C1330" w:rsidP="000C1330">
            <w:pPr>
              <w:jc w:val="both"/>
              <w:rPr>
                <w:sz w:val="24"/>
                <w:szCs w:val="24"/>
                <w:lang w:val="ca-ES"/>
              </w:rPr>
            </w:pPr>
            <w:r>
              <w:rPr>
                <w:sz w:val="24"/>
                <w:szCs w:val="24"/>
                <w:lang w:val="ca-ES"/>
              </w:rPr>
              <w:t>Distància en quilòmetres</w:t>
            </w:r>
          </w:p>
        </w:tc>
        <w:tc>
          <w:tcPr>
            <w:tcW w:w="4665" w:type="dxa"/>
          </w:tcPr>
          <w:p w:rsidR="00047C22" w:rsidRDefault="000C1330" w:rsidP="000C1330">
            <w:pPr>
              <w:jc w:val="both"/>
              <w:rPr>
                <w:sz w:val="24"/>
                <w:szCs w:val="24"/>
                <w:lang w:val="ca-ES"/>
              </w:rPr>
            </w:pPr>
            <w:r>
              <w:rPr>
                <w:sz w:val="24"/>
                <w:szCs w:val="24"/>
                <w:lang w:val="ca-ES"/>
              </w:rPr>
              <w:t>Quantitat a percebre</w:t>
            </w:r>
          </w:p>
        </w:tc>
      </w:tr>
      <w:tr w:rsidR="00047C22" w:rsidTr="000C1330">
        <w:trPr>
          <w:trHeight w:val="480"/>
        </w:trPr>
        <w:tc>
          <w:tcPr>
            <w:tcW w:w="4050" w:type="dxa"/>
          </w:tcPr>
          <w:p w:rsidR="00047C22" w:rsidRDefault="000C1330" w:rsidP="000C1330">
            <w:pPr>
              <w:jc w:val="both"/>
              <w:rPr>
                <w:sz w:val="24"/>
                <w:szCs w:val="24"/>
                <w:lang w:val="ca-ES"/>
              </w:rPr>
            </w:pPr>
            <w:r>
              <w:rPr>
                <w:sz w:val="24"/>
                <w:szCs w:val="24"/>
                <w:lang w:val="ca-ES"/>
              </w:rPr>
              <w:t>Entre 100 i 499 km</w:t>
            </w:r>
          </w:p>
        </w:tc>
        <w:tc>
          <w:tcPr>
            <w:tcW w:w="4665" w:type="dxa"/>
          </w:tcPr>
          <w:p w:rsidR="00047C22" w:rsidRDefault="000C1330" w:rsidP="000C1330">
            <w:pPr>
              <w:jc w:val="both"/>
              <w:rPr>
                <w:sz w:val="24"/>
                <w:szCs w:val="24"/>
                <w:lang w:val="ca-ES"/>
              </w:rPr>
            </w:pPr>
            <w:r>
              <w:rPr>
                <w:sz w:val="24"/>
                <w:szCs w:val="24"/>
                <w:lang w:val="ca-ES"/>
              </w:rPr>
              <w:t>180€ per participant</w:t>
            </w:r>
          </w:p>
        </w:tc>
      </w:tr>
      <w:tr w:rsidR="000C1330" w:rsidTr="000C1330">
        <w:trPr>
          <w:trHeight w:val="420"/>
        </w:trPr>
        <w:tc>
          <w:tcPr>
            <w:tcW w:w="4050" w:type="dxa"/>
          </w:tcPr>
          <w:p w:rsidR="000C1330" w:rsidRDefault="000C1330" w:rsidP="000C1330">
            <w:pPr>
              <w:jc w:val="both"/>
              <w:rPr>
                <w:sz w:val="24"/>
                <w:szCs w:val="24"/>
                <w:lang w:val="ca-ES"/>
              </w:rPr>
            </w:pPr>
            <w:r>
              <w:rPr>
                <w:sz w:val="24"/>
                <w:szCs w:val="24"/>
                <w:lang w:val="ca-ES"/>
              </w:rPr>
              <w:t>Entre 500 i 1.999 km</w:t>
            </w:r>
          </w:p>
        </w:tc>
        <w:tc>
          <w:tcPr>
            <w:tcW w:w="4665" w:type="dxa"/>
          </w:tcPr>
          <w:p w:rsidR="000C1330" w:rsidRDefault="000C1330" w:rsidP="000C1330">
            <w:pPr>
              <w:jc w:val="both"/>
              <w:rPr>
                <w:sz w:val="24"/>
                <w:szCs w:val="24"/>
                <w:lang w:val="ca-ES"/>
              </w:rPr>
            </w:pPr>
            <w:r>
              <w:rPr>
                <w:sz w:val="24"/>
                <w:szCs w:val="24"/>
                <w:lang w:val="ca-ES"/>
              </w:rPr>
              <w:t>275€ per participant</w:t>
            </w:r>
          </w:p>
        </w:tc>
      </w:tr>
      <w:tr w:rsidR="000C1330" w:rsidTr="000C1330">
        <w:trPr>
          <w:trHeight w:val="420"/>
        </w:trPr>
        <w:tc>
          <w:tcPr>
            <w:tcW w:w="4050" w:type="dxa"/>
          </w:tcPr>
          <w:p w:rsidR="000C1330" w:rsidRDefault="000C1330" w:rsidP="000C1330">
            <w:pPr>
              <w:jc w:val="both"/>
              <w:rPr>
                <w:sz w:val="24"/>
                <w:szCs w:val="24"/>
                <w:lang w:val="ca-ES"/>
              </w:rPr>
            </w:pPr>
            <w:r>
              <w:rPr>
                <w:sz w:val="24"/>
                <w:szCs w:val="24"/>
                <w:lang w:val="ca-ES"/>
              </w:rPr>
              <w:t xml:space="preserve">Entre 2.000 i 2.999 km </w:t>
            </w:r>
          </w:p>
        </w:tc>
        <w:tc>
          <w:tcPr>
            <w:tcW w:w="4665" w:type="dxa"/>
          </w:tcPr>
          <w:p w:rsidR="000C1330" w:rsidRDefault="000C1330" w:rsidP="000C1330">
            <w:pPr>
              <w:jc w:val="both"/>
              <w:rPr>
                <w:sz w:val="24"/>
                <w:szCs w:val="24"/>
                <w:lang w:val="ca-ES"/>
              </w:rPr>
            </w:pPr>
            <w:r>
              <w:rPr>
                <w:sz w:val="24"/>
                <w:szCs w:val="24"/>
                <w:lang w:val="ca-ES"/>
              </w:rPr>
              <w:t>360€ per participant</w:t>
            </w:r>
          </w:p>
        </w:tc>
      </w:tr>
      <w:tr w:rsidR="000C1330" w:rsidTr="000C1330">
        <w:trPr>
          <w:trHeight w:val="345"/>
        </w:trPr>
        <w:tc>
          <w:tcPr>
            <w:tcW w:w="4050" w:type="dxa"/>
          </w:tcPr>
          <w:p w:rsidR="000C1330" w:rsidRDefault="000C1330" w:rsidP="000C1330">
            <w:pPr>
              <w:jc w:val="both"/>
              <w:rPr>
                <w:sz w:val="24"/>
                <w:szCs w:val="24"/>
                <w:lang w:val="ca-ES"/>
              </w:rPr>
            </w:pPr>
            <w:r>
              <w:rPr>
                <w:sz w:val="24"/>
                <w:szCs w:val="24"/>
                <w:lang w:val="ca-ES"/>
              </w:rPr>
              <w:t>Entre 3.000 i 3.999 km</w:t>
            </w:r>
          </w:p>
        </w:tc>
        <w:tc>
          <w:tcPr>
            <w:tcW w:w="4665" w:type="dxa"/>
          </w:tcPr>
          <w:p w:rsidR="000C1330" w:rsidRDefault="000C1330" w:rsidP="000C1330">
            <w:pPr>
              <w:jc w:val="both"/>
              <w:rPr>
                <w:sz w:val="24"/>
                <w:szCs w:val="24"/>
                <w:lang w:val="ca-ES"/>
              </w:rPr>
            </w:pPr>
            <w:r>
              <w:rPr>
                <w:sz w:val="24"/>
                <w:szCs w:val="24"/>
                <w:lang w:val="ca-ES"/>
              </w:rPr>
              <w:t>530€ per participant</w:t>
            </w:r>
          </w:p>
        </w:tc>
      </w:tr>
      <w:tr w:rsidR="000C1330" w:rsidTr="000C1330">
        <w:trPr>
          <w:trHeight w:val="345"/>
        </w:trPr>
        <w:tc>
          <w:tcPr>
            <w:tcW w:w="4050" w:type="dxa"/>
          </w:tcPr>
          <w:p w:rsidR="000C1330" w:rsidRDefault="000C1330" w:rsidP="000C1330">
            <w:pPr>
              <w:jc w:val="both"/>
              <w:rPr>
                <w:sz w:val="24"/>
                <w:szCs w:val="24"/>
                <w:lang w:val="ca-ES"/>
              </w:rPr>
            </w:pPr>
            <w:r>
              <w:rPr>
                <w:sz w:val="24"/>
                <w:szCs w:val="24"/>
                <w:lang w:val="ca-ES"/>
              </w:rPr>
              <w:t>Entre 4.000 i 7.999 km</w:t>
            </w:r>
          </w:p>
        </w:tc>
        <w:tc>
          <w:tcPr>
            <w:tcW w:w="4665" w:type="dxa"/>
          </w:tcPr>
          <w:p w:rsidR="000C1330" w:rsidRDefault="000C1330" w:rsidP="000C1330">
            <w:pPr>
              <w:jc w:val="both"/>
              <w:rPr>
                <w:sz w:val="24"/>
                <w:szCs w:val="24"/>
                <w:lang w:val="ca-ES"/>
              </w:rPr>
            </w:pPr>
            <w:r>
              <w:rPr>
                <w:sz w:val="24"/>
                <w:szCs w:val="24"/>
                <w:lang w:val="ca-ES"/>
              </w:rPr>
              <w:t>820€ per participant</w:t>
            </w:r>
          </w:p>
        </w:tc>
      </w:tr>
      <w:tr w:rsidR="000C1330" w:rsidTr="000C1330">
        <w:trPr>
          <w:trHeight w:val="345"/>
        </w:trPr>
        <w:tc>
          <w:tcPr>
            <w:tcW w:w="4050" w:type="dxa"/>
          </w:tcPr>
          <w:p w:rsidR="000C1330" w:rsidRDefault="000C1330" w:rsidP="000C1330">
            <w:pPr>
              <w:jc w:val="both"/>
              <w:rPr>
                <w:sz w:val="24"/>
                <w:szCs w:val="24"/>
                <w:lang w:val="ca-ES"/>
              </w:rPr>
            </w:pPr>
            <w:r>
              <w:rPr>
                <w:sz w:val="24"/>
                <w:szCs w:val="24"/>
                <w:lang w:val="ca-ES"/>
              </w:rPr>
              <w:t>Entre 8.000 i 19.900 km</w:t>
            </w:r>
          </w:p>
        </w:tc>
        <w:tc>
          <w:tcPr>
            <w:tcW w:w="4665" w:type="dxa"/>
          </w:tcPr>
          <w:p w:rsidR="000C1330" w:rsidRDefault="000C1330" w:rsidP="000C1330">
            <w:pPr>
              <w:jc w:val="both"/>
              <w:rPr>
                <w:sz w:val="24"/>
                <w:szCs w:val="24"/>
                <w:lang w:val="ca-ES"/>
              </w:rPr>
            </w:pPr>
            <w:r>
              <w:rPr>
                <w:sz w:val="24"/>
                <w:szCs w:val="24"/>
                <w:lang w:val="ca-ES"/>
              </w:rPr>
              <w:t>1.100€ per participant</w:t>
            </w:r>
          </w:p>
        </w:tc>
      </w:tr>
    </w:tbl>
    <w:p w:rsidR="00047C22" w:rsidRDefault="00047C22" w:rsidP="00047C22">
      <w:pPr>
        <w:jc w:val="both"/>
        <w:rPr>
          <w:sz w:val="24"/>
          <w:szCs w:val="24"/>
          <w:lang w:val="ca-ES"/>
        </w:rPr>
      </w:pPr>
    </w:p>
    <w:p w:rsidR="000C1330" w:rsidRDefault="000C1330" w:rsidP="000C1330">
      <w:pPr>
        <w:pStyle w:val="Pargrafdellista"/>
        <w:numPr>
          <w:ilvl w:val="0"/>
          <w:numId w:val="3"/>
        </w:numPr>
        <w:jc w:val="both"/>
        <w:rPr>
          <w:sz w:val="24"/>
          <w:szCs w:val="24"/>
          <w:lang w:val="ca-ES"/>
        </w:rPr>
      </w:pPr>
      <w:r>
        <w:rPr>
          <w:sz w:val="24"/>
          <w:szCs w:val="24"/>
          <w:lang w:val="ca-ES"/>
        </w:rPr>
        <w:t>Allotjament i manutenció.- Les quantitats dependran del país de destinació, d’acord amb el quadre següent:</w:t>
      </w:r>
    </w:p>
    <w:tbl>
      <w:tblPr>
        <w:tblW w:w="900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52"/>
        <w:gridCol w:w="2548"/>
      </w:tblGrid>
      <w:tr w:rsidR="000C1330" w:rsidTr="000C1330">
        <w:trPr>
          <w:trHeight w:val="360"/>
        </w:trPr>
        <w:tc>
          <w:tcPr>
            <w:tcW w:w="6452" w:type="dxa"/>
          </w:tcPr>
          <w:p w:rsidR="000C1330" w:rsidRDefault="000C1330" w:rsidP="000C1330">
            <w:pPr>
              <w:jc w:val="both"/>
              <w:rPr>
                <w:sz w:val="24"/>
                <w:szCs w:val="24"/>
                <w:lang w:val="ca-ES"/>
              </w:rPr>
            </w:pPr>
            <w:r>
              <w:rPr>
                <w:sz w:val="24"/>
                <w:szCs w:val="24"/>
                <w:lang w:val="ca-ES"/>
              </w:rPr>
              <w:t>Països de destinació</w:t>
            </w:r>
          </w:p>
        </w:tc>
        <w:tc>
          <w:tcPr>
            <w:tcW w:w="2548" w:type="dxa"/>
          </w:tcPr>
          <w:p w:rsidR="000C1330" w:rsidRDefault="000C1330" w:rsidP="000C1330">
            <w:pPr>
              <w:jc w:val="both"/>
              <w:rPr>
                <w:sz w:val="24"/>
                <w:szCs w:val="24"/>
                <w:lang w:val="ca-ES"/>
              </w:rPr>
            </w:pPr>
            <w:r>
              <w:rPr>
                <w:sz w:val="24"/>
                <w:szCs w:val="24"/>
                <w:lang w:val="ca-ES"/>
              </w:rPr>
              <w:t>Quantitat diària a rebre</w:t>
            </w:r>
          </w:p>
        </w:tc>
      </w:tr>
      <w:tr w:rsidR="000C1330" w:rsidTr="000C1330">
        <w:trPr>
          <w:trHeight w:val="360"/>
        </w:trPr>
        <w:tc>
          <w:tcPr>
            <w:tcW w:w="6452" w:type="dxa"/>
          </w:tcPr>
          <w:p w:rsidR="000C1330" w:rsidRDefault="000C1330" w:rsidP="000C1330">
            <w:pPr>
              <w:jc w:val="both"/>
              <w:rPr>
                <w:sz w:val="24"/>
                <w:szCs w:val="24"/>
                <w:lang w:val="ca-ES"/>
              </w:rPr>
            </w:pPr>
            <w:r>
              <w:rPr>
                <w:sz w:val="24"/>
                <w:szCs w:val="24"/>
                <w:lang w:val="ca-ES"/>
              </w:rPr>
              <w:t>Grup A</w:t>
            </w:r>
          </w:p>
          <w:p w:rsidR="000C1330" w:rsidRDefault="000C1330" w:rsidP="000C1330">
            <w:pPr>
              <w:jc w:val="both"/>
              <w:rPr>
                <w:sz w:val="24"/>
                <w:szCs w:val="24"/>
                <w:lang w:val="ca-ES"/>
              </w:rPr>
            </w:pPr>
            <w:r>
              <w:rPr>
                <w:sz w:val="24"/>
                <w:szCs w:val="24"/>
                <w:lang w:val="ca-ES"/>
              </w:rPr>
              <w:t>Dinamarca, Països Baixos, Irlanda, Regne Unit, Suècia</w:t>
            </w:r>
          </w:p>
        </w:tc>
        <w:tc>
          <w:tcPr>
            <w:tcW w:w="2548" w:type="dxa"/>
          </w:tcPr>
          <w:p w:rsidR="000C1330" w:rsidRDefault="000C1330" w:rsidP="000C1330">
            <w:pPr>
              <w:jc w:val="both"/>
              <w:rPr>
                <w:sz w:val="24"/>
                <w:szCs w:val="24"/>
                <w:lang w:val="ca-ES"/>
              </w:rPr>
            </w:pPr>
            <w:r>
              <w:rPr>
                <w:sz w:val="24"/>
                <w:szCs w:val="24"/>
                <w:lang w:val="ca-ES"/>
              </w:rPr>
              <w:t>120€</w:t>
            </w:r>
          </w:p>
        </w:tc>
      </w:tr>
      <w:tr w:rsidR="000C1330" w:rsidTr="000C1330">
        <w:trPr>
          <w:trHeight w:val="360"/>
        </w:trPr>
        <w:tc>
          <w:tcPr>
            <w:tcW w:w="6452" w:type="dxa"/>
          </w:tcPr>
          <w:p w:rsidR="000C1330" w:rsidRDefault="000C1330" w:rsidP="000C1330">
            <w:pPr>
              <w:jc w:val="both"/>
              <w:rPr>
                <w:sz w:val="24"/>
                <w:szCs w:val="24"/>
                <w:lang w:val="ca-ES"/>
              </w:rPr>
            </w:pPr>
            <w:r>
              <w:rPr>
                <w:sz w:val="24"/>
                <w:szCs w:val="24"/>
                <w:lang w:val="ca-ES"/>
              </w:rPr>
              <w:t>Grup B</w:t>
            </w:r>
          </w:p>
          <w:p w:rsidR="000C1330" w:rsidRDefault="000C1330" w:rsidP="000C1330">
            <w:pPr>
              <w:jc w:val="both"/>
              <w:rPr>
                <w:sz w:val="24"/>
                <w:szCs w:val="24"/>
                <w:lang w:val="ca-ES"/>
              </w:rPr>
            </w:pPr>
            <w:r>
              <w:rPr>
                <w:sz w:val="24"/>
                <w:szCs w:val="24"/>
                <w:lang w:val="ca-ES"/>
              </w:rPr>
              <w:t>Àustria, Bèlgica, Bulgària, Xipre, Finlàndia, França, Grècia, Hongria, Islàndia, Itàlia, Liechtenstein, Luxemburg, Noruega, Polònia, República Txeca, Romania, Turquia</w:t>
            </w:r>
          </w:p>
        </w:tc>
        <w:tc>
          <w:tcPr>
            <w:tcW w:w="2548" w:type="dxa"/>
          </w:tcPr>
          <w:p w:rsidR="000C1330" w:rsidRDefault="000C1330" w:rsidP="000C1330">
            <w:pPr>
              <w:jc w:val="both"/>
              <w:rPr>
                <w:sz w:val="24"/>
                <w:szCs w:val="24"/>
                <w:lang w:val="ca-ES"/>
              </w:rPr>
            </w:pPr>
            <w:r>
              <w:rPr>
                <w:sz w:val="24"/>
                <w:szCs w:val="24"/>
                <w:lang w:val="ca-ES"/>
              </w:rPr>
              <w:t>105€</w:t>
            </w:r>
          </w:p>
        </w:tc>
      </w:tr>
      <w:tr w:rsidR="000C1330" w:rsidTr="000C1330">
        <w:trPr>
          <w:trHeight w:val="360"/>
        </w:trPr>
        <w:tc>
          <w:tcPr>
            <w:tcW w:w="6452" w:type="dxa"/>
          </w:tcPr>
          <w:p w:rsidR="000C1330" w:rsidRDefault="000C1330" w:rsidP="000C1330">
            <w:pPr>
              <w:jc w:val="both"/>
              <w:rPr>
                <w:sz w:val="24"/>
                <w:szCs w:val="24"/>
                <w:lang w:val="ca-ES"/>
              </w:rPr>
            </w:pPr>
            <w:r>
              <w:rPr>
                <w:sz w:val="24"/>
                <w:szCs w:val="24"/>
                <w:lang w:val="ca-ES"/>
              </w:rPr>
              <w:lastRenderedPageBreak/>
              <w:t>Grup C</w:t>
            </w:r>
          </w:p>
          <w:p w:rsidR="000C1330" w:rsidRDefault="000C1330" w:rsidP="000C1330">
            <w:pPr>
              <w:jc w:val="both"/>
              <w:rPr>
                <w:sz w:val="24"/>
                <w:szCs w:val="24"/>
                <w:lang w:val="ca-ES"/>
              </w:rPr>
            </w:pPr>
            <w:r>
              <w:rPr>
                <w:sz w:val="24"/>
                <w:szCs w:val="24"/>
                <w:lang w:val="ca-ES"/>
              </w:rPr>
              <w:t>Alemanya, Antiga República Iugoslava de Macedònia, Eslovàquia, Letònia, Malta, Portugal</w:t>
            </w:r>
          </w:p>
        </w:tc>
        <w:tc>
          <w:tcPr>
            <w:tcW w:w="2548" w:type="dxa"/>
          </w:tcPr>
          <w:p w:rsidR="000C1330" w:rsidRDefault="000C1330" w:rsidP="000C1330">
            <w:pPr>
              <w:jc w:val="both"/>
              <w:rPr>
                <w:sz w:val="24"/>
                <w:szCs w:val="24"/>
                <w:lang w:val="ca-ES"/>
              </w:rPr>
            </w:pPr>
            <w:r>
              <w:rPr>
                <w:sz w:val="24"/>
                <w:szCs w:val="24"/>
                <w:lang w:val="ca-ES"/>
              </w:rPr>
              <w:t>90€</w:t>
            </w:r>
          </w:p>
        </w:tc>
      </w:tr>
      <w:tr w:rsidR="000C1330" w:rsidTr="000C1330">
        <w:trPr>
          <w:trHeight w:val="360"/>
        </w:trPr>
        <w:tc>
          <w:tcPr>
            <w:tcW w:w="6452" w:type="dxa"/>
          </w:tcPr>
          <w:p w:rsidR="000C1330" w:rsidRDefault="000C1330" w:rsidP="000C1330">
            <w:pPr>
              <w:jc w:val="both"/>
              <w:rPr>
                <w:sz w:val="24"/>
                <w:szCs w:val="24"/>
                <w:lang w:val="ca-ES"/>
              </w:rPr>
            </w:pPr>
            <w:r>
              <w:rPr>
                <w:sz w:val="24"/>
                <w:szCs w:val="24"/>
                <w:lang w:val="ca-ES"/>
              </w:rPr>
              <w:t>Grup D</w:t>
            </w:r>
          </w:p>
          <w:p w:rsidR="000C1330" w:rsidRDefault="000C1330" w:rsidP="000C1330">
            <w:pPr>
              <w:jc w:val="both"/>
              <w:rPr>
                <w:sz w:val="24"/>
                <w:szCs w:val="24"/>
                <w:lang w:val="ca-ES"/>
              </w:rPr>
            </w:pPr>
            <w:r>
              <w:rPr>
                <w:sz w:val="24"/>
                <w:szCs w:val="24"/>
                <w:lang w:val="ca-ES"/>
              </w:rPr>
              <w:t>Croàcia, Eslovènia, Estònia, Lituània</w:t>
            </w:r>
          </w:p>
        </w:tc>
        <w:tc>
          <w:tcPr>
            <w:tcW w:w="2548" w:type="dxa"/>
          </w:tcPr>
          <w:p w:rsidR="000C1330" w:rsidRDefault="00525087" w:rsidP="000C1330">
            <w:pPr>
              <w:jc w:val="both"/>
              <w:rPr>
                <w:sz w:val="24"/>
                <w:szCs w:val="24"/>
                <w:lang w:val="ca-ES"/>
              </w:rPr>
            </w:pPr>
            <w:r>
              <w:rPr>
                <w:sz w:val="24"/>
                <w:szCs w:val="24"/>
                <w:lang w:val="ca-ES"/>
              </w:rPr>
              <w:t>75€</w:t>
            </w:r>
          </w:p>
        </w:tc>
      </w:tr>
    </w:tbl>
    <w:p w:rsidR="00A334DB" w:rsidRDefault="00A334DB" w:rsidP="000C1330">
      <w:pPr>
        <w:jc w:val="both"/>
        <w:rPr>
          <w:sz w:val="24"/>
          <w:szCs w:val="24"/>
          <w:lang w:val="ca-ES"/>
        </w:rPr>
      </w:pPr>
    </w:p>
    <w:p w:rsidR="00586DAF" w:rsidRDefault="00586DAF" w:rsidP="000C1330">
      <w:pPr>
        <w:jc w:val="both"/>
        <w:rPr>
          <w:sz w:val="24"/>
          <w:szCs w:val="24"/>
          <w:lang w:val="ca-ES"/>
        </w:rPr>
      </w:pPr>
    </w:p>
    <w:p w:rsidR="00525087" w:rsidRDefault="00525087" w:rsidP="000C1330">
      <w:pPr>
        <w:jc w:val="both"/>
        <w:rPr>
          <w:b/>
          <w:sz w:val="24"/>
          <w:szCs w:val="24"/>
          <w:lang w:val="ca-ES"/>
        </w:rPr>
      </w:pPr>
      <w:r>
        <w:rPr>
          <w:b/>
          <w:sz w:val="24"/>
          <w:szCs w:val="24"/>
          <w:lang w:val="ca-ES"/>
        </w:rPr>
        <w:t>VII.- CRITERIS DE SELECCIÓ</w:t>
      </w:r>
    </w:p>
    <w:p w:rsidR="00281938" w:rsidRDefault="00C06719" w:rsidP="00281938">
      <w:pPr>
        <w:jc w:val="both"/>
        <w:rPr>
          <w:sz w:val="24"/>
          <w:szCs w:val="24"/>
          <w:lang w:val="ca-ES"/>
        </w:rPr>
      </w:pPr>
      <w:r>
        <w:rPr>
          <w:sz w:val="24"/>
          <w:szCs w:val="24"/>
          <w:lang w:val="ca-ES"/>
        </w:rPr>
        <w:t>La selecció dels beneficiaris dels ajuts Erasmus+ Docència</w:t>
      </w:r>
      <w:r w:rsidR="00281938">
        <w:rPr>
          <w:sz w:val="24"/>
          <w:szCs w:val="24"/>
          <w:lang w:val="ca-ES"/>
        </w:rPr>
        <w:t xml:space="preserve"> és competència del Vicerector</w:t>
      </w:r>
      <w:r>
        <w:rPr>
          <w:sz w:val="24"/>
          <w:szCs w:val="24"/>
          <w:lang w:val="ca-ES"/>
        </w:rPr>
        <w:t xml:space="preserve"> de Política Universitària</w:t>
      </w:r>
      <w:r w:rsidR="00281938">
        <w:rPr>
          <w:sz w:val="24"/>
          <w:szCs w:val="24"/>
          <w:lang w:val="ca-ES"/>
        </w:rPr>
        <w:t xml:space="preserve">, que nomenarà una Comissió de selecció, presidida per ell mateix i formada pels sotsdirectors/res o vicedegans/anes dels Centres Docents que hagin presentat </w:t>
      </w:r>
      <w:r w:rsidR="00A333FE">
        <w:rPr>
          <w:sz w:val="24"/>
          <w:szCs w:val="24"/>
          <w:lang w:val="ca-ES"/>
        </w:rPr>
        <w:t>sol·licituds</w:t>
      </w:r>
      <w:r w:rsidR="00281938">
        <w:rPr>
          <w:sz w:val="24"/>
          <w:szCs w:val="24"/>
          <w:lang w:val="ca-ES"/>
        </w:rPr>
        <w:t xml:space="preserve"> i la Cap del Gabinet de Relacions Institucionals i Internacionalització, que actuarà de Secretària de la Comissió, resoldrà les sol·licituds de totes les convocatòries necessàries fins exhaurir el pressupost.</w:t>
      </w:r>
    </w:p>
    <w:p w:rsidR="00525087" w:rsidRDefault="00525087" w:rsidP="000C1330">
      <w:pPr>
        <w:jc w:val="both"/>
        <w:rPr>
          <w:sz w:val="24"/>
          <w:szCs w:val="24"/>
          <w:lang w:val="ca-ES"/>
        </w:rPr>
      </w:pPr>
      <w:r>
        <w:rPr>
          <w:sz w:val="24"/>
          <w:szCs w:val="24"/>
          <w:lang w:val="ca-ES"/>
        </w:rPr>
        <w:t xml:space="preserve">Totes les </w:t>
      </w:r>
      <w:r w:rsidR="00510F9D">
        <w:rPr>
          <w:sz w:val="24"/>
          <w:szCs w:val="24"/>
          <w:lang w:val="ca-ES"/>
        </w:rPr>
        <w:t>sol·licituds</w:t>
      </w:r>
      <w:r>
        <w:rPr>
          <w:sz w:val="24"/>
          <w:szCs w:val="24"/>
          <w:lang w:val="ca-ES"/>
        </w:rPr>
        <w:t xml:space="preserve"> es puntuaran segons els següents criteris:</w:t>
      </w:r>
    </w:p>
    <w:p w:rsidR="00525087" w:rsidRDefault="00525087" w:rsidP="00525087">
      <w:pPr>
        <w:pStyle w:val="Pargrafdellista"/>
        <w:numPr>
          <w:ilvl w:val="0"/>
          <w:numId w:val="4"/>
        </w:numPr>
        <w:jc w:val="both"/>
        <w:rPr>
          <w:sz w:val="24"/>
          <w:szCs w:val="24"/>
          <w:lang w:val="ca-ES"/>
        </w:rPr>
      </w:pPr>
      <w:r>
        <w:rPr>
          <w:sz w:val="24"/>
          <w:szCs w:val="24"/>
          <w:lang w:val="ca-ES"/>
        </w:rPr>
        <w:t>Propost</w:t>
      </w:r>
      <w:r w:rsidR="0078690C">
        <w:rPr>
          <w:sz w:val="24"/>
          <w:szCs w:val="24"/>
          <w:lang w:val="ca-ES"/>
        </w:rPr>
        <w:t>a del programa de mobilitat</w:t>
      </w:r>
      <w:r w:rsidR="0078690C">
        <w:rPr>
          <w:sz w:val="24"/>
          <w:szCs w:val="24"/>
          <w:lang w:val="ca-ES"/>
        </w:rPr>
        <w:tab/>
      </w:r>
      <w:r w:rsidR="00AC18AD">
        <w:rPr>
          <w:sz w:val="24"/>
          <w:szCs w:val="24"/>
          <w:lang w:val="ca-ES"/>
        </w:rPr>
        <w:t xml:space="preserve"> (a valorar pel Centre)</w:t>
      </w:r>
      <w:r w:rsidR="00AC18AD">
        <w:rPr>
          <w:sz w:val="24"/>
          <w:szCs w:val="24"/>
          <w:lang w:val="ca-ES"/>
        </w:rPr>
        <w:tab/>
        <w:t xml:space="preserve"> </w:t>
      </w:r>
      <w:r w:rsidR="0078690C">
        <w:rPr>
          <w:sz w:val="24"/>
          <w:szCs w:val="24"/>
          <w:lang w:val="ca-ES"/>
        </w:rPr>
        <w:t xml:space="preserve">fins a </w:t>
      </w:r>
      <w:r w:rsidR="0078690C">
        <w:rPr>
          <w:sz w:val="24"/>
          <w:szCs w:val="24"/>
          <w:lang w:val="ca-ES"/>
        </w:rPr>
        <w:tab/>
      </w:r>
      <w:r>
        <w:rPr>
          <w:sz w:val="24"/>
          <w:szCs w:val="24"/>
          <w:lang w:val="ca-ES"/>
        </w:rPr>
        <w:t>3 punts</w:t>
      </w:r>
    </w:p>
    <w:p w:rsidR="00525087" w:rsidRDefault="00525087" w:rsidP="00525087">
      <w:pPr>
        <w:pStyle w:val="Pargrafdellista"/>
        <w:numPr>
          <w:ilvl w:val="0"/>
          <w:numId w:val="4"/>
        </w:numPr>
        <w:jc w:val="both"/>
        <w:rPr>
          <w:sz w:val="24"/>
          <w:szCs w:val="24"/>
          <w:lang w:val="ca-ES"/>
        </w:rPr>
      </w:pPr>
      <w:r>
        <w:rPr>
          <w:sz w:val="24"/>
          <w:szCs w:val="24"/>
          <w:lang w:val="ca-ES"/>
        </w:rPr>
        <w:t>Durada de la mobilitat</w:t>
      </w:r>
    </w:p>
    <w:p w:rsidR="00525087" w:rsidRDefault="00525087" w:rsidP="00525087">
      <w:pPr>
        <w:pStyle w:val="Pargrafdellista"/>
        <w:numPr>
          <w:ilvl w:val="1"/>
          <w:numId w:val="4"/>
        </w:numPr>
        <w:jc w:val="both"/>
        <w:rPr>
          <w:sz w:val="24"/>
          <w:szCs w:val="24"/>
          <w:lang w:val="ca-ES"/>
        </w:rPr>
      </w:pPr>
      <w:r>
        <w:rPr>
          <w:sz w:val="24"/>
          <w:szCs w:val="24"/>
          <w:lang w:val="ca-ES"/>
        </w:rPr>
        <w:t>2 dies</w:t>
      </w:r>
      <w:r>
        <w:rPr>
          <w:sz w:val="24"/>
          <w:szCs w:val="24"/>
          <w:lang w:val="ca-ES"/>
        </w:rPr>
        <w:tab/>
      </w:r>
      <w:r>
        <w:rPr>
          <w:sz w:val="24"/>
          <w:szCs w:val="24"/>
          <w:lang w:val="ca-ES"/>
        </w:rPr>
        <w:tab/>
      </w:r>
      <w:r>
        <w:rPr>
          <w:sz w:val="24"/>
          <w:szCs w:val="24"/>
          <w:lang w:val="ca-ES"/>
        </w:rPr>
        <w:tab/>
      </w:r>
      <w:r>
        <w:rPr>
          <w:sz w:val="24"/>
          <w:szCs w:val="24"/>
          <w:lang w:val="ca-ES"/>
        </w:rPr>
        <w:tab/>
      </w:r>
      <w:r>
        <w:rPr>
          <w:sz w:val="24"/>
          <w:szCs w:val="24"/>
          <w:lang w:val="ca-ES"/>
        </w:rPr>
        <w:tab/>
      </w:r>
      <w:r>
        <w:rPr>
          <w:sz w:val="24"/>
          <w:szCs w:val="24"/>
          <w:lang w:val="ca-ES"/>
        </w:rPr>
        <w:tab/>
      </w:r>
      <w:r>
        <w:rPr>
          <w:sz w:val="24"/>
          <w:szCs w:val="24"/>
          <w:lang w:val="ca-ES"/>
        </w:rPr>
        <w:tab/>
      </w:r>
      <w:r>
        <w:rPr>
          <w:sz w:val="24"/>
          <w:szCs w:val="24"/>
          <w:lang w:val="ca-ES"/>
        </w:rPr>
        <w:tab/>
        <w:t>1 punt</w:t>
      </w:r>
    </w:p>
    <w:p w:rsidR="00525087" w:rsidRDefault="00525087" w:rsidP="00525087">
      <w:pPr>
        <w:pStyle w:val="Pargrafdellista"/>
        <w:numPr>
          <w:ilvl w:val="1"/>
          <w:numId w:val="4"/>
        </w:numPr>
        <w:jc w:val="both"/>
        <w:rPr>
          <w:sz w:val="24"/>
          <w:szCs w:val="24"/>
          <w:lang w:val="ca-ES"/>
        </w:rPr>
      </w:pPr>
      <w:r>
        <w:rPr>
          <w:sz w:val="24"/>
          <w:szCs w:val="24"/>
          <w:lang w:val="ca-ES"/>
        </w:rPr>
        <w:t>3 dies</w:t>
      </w:r>
      <w:r>
        <w:rPr>
          <w:sz w:val="24"/>
          <w:szCs w:val="24"/>
          <w:lang w:val="ca-ES"/>
        </w:rPr>
        <w:tab/>
      </w:r>
      <w:r>
        <w:rPr>
          <w:sz w:val="24"/>
          <w:szCs w:val="24"/>
          <w:lang w:val="ca-ES"/>
        </w:rPr>
        <w:tab/>
      </w:r>
      <w:r>
        <w:rPr>
          <w:sz w:val="24"/>
          <w:szCs w:val="24"/>
          <w:lang w:val="ca-ES"/>
        </w:rPr>
        <w:tab/>
      </w:r>
      <w:r>
        <w:rPr>
          <w:sz w:val="24"/>
          <w:szCs w:val="24"/>
          <w:lang w:val="ca-ES"/>
        </w:rPr>
        <w:tab/>
      </w:r>
      <w:r>
        <w:rPr>
          <w:sz w:val="24"/>
          <w:szCs w:val="24"/>
          <w:lang w:val="ca-ES"/>
        </w:rPr>
        <w:tab/>
      </w:r>
      <w:r>
        <w:rPr>
          <w:sz w:val="24"/>
          <w:szCs w:val="24"/>
          <w:lang w:val="ca-ES"/>
        </w:rPr>
        <w:tab/>
      </w:r>
      <w:r>
        <w:rPr>
          <w:sz w:val="24"/>
          <w:szCs w:val="24"/>
          <w:lang w:val="ca-ES"/>
        </w:rPr>
        <w:tab/>
      </w:r>
      <w:r>
        <w:rPr>
          <w:sz w:val="24"/>
          <w:szCs w:val="24"/>
          <w:lang w:val="ca-ES"/>
        </w:rPr>
        <w:tab/>
        <w:t>2 punts</w:t>
      </w:r>
    </w:p>
    <w:p w:rsidR="00525087" w:rsidRDefault="00525087" w:rsidP="00525087">
      <w:pPr>
        <w:pStyle w:val="Pargrafdellista"/>
        <w:numPr>
          <w:ilvl w:val="1"/>
          <w:numId w:val="4"/>
        </w:numPr>
        <w:jc w:val="both"/>
        <w:rPr>
          <w:sz w:val="24"/>
          <w:szCs w:val="24"/>
          <w:lang w:val="ca-ES"/>
        </w:rPr>
      </w:pPr>
      <w:r>
        <w:rPr>
          <w:sz w:val="24"/>
          <w:szCs w:val="24"/>
          <w:lang w:val="ca-ES"/>
        </w:rPr>
        <w:t>4 dies</w:t>
      </w:r>
      <w:r>
        <w:rPr>
          <w:sz w:val="24"/>
          <w:szCs w:val="24"/>
          <w:lang w:val="ca-ES"/>
        </w:rPr>
        <w:tab/>
      </w:r>
      <w:r>
        <w:rPr>
          <w:sz w:val="24"/>
          <w:szCs w:val="24"/>
          <w:lang w:val="ca-ES"/>
        </w:rPr>
        <w:tab/>
      </w:r>
      <w:r>
        <w:rPr>
          <w:sz w:val="24"/>
          <w:szCs w:val="24"/>
          <w:lang w:val="ca-ES"/>
        </w:rPr>
        <w:tab/>
      </w:r>
      <w:r>
        <w:rPr>
          <w:sz w:val="24"/>
          <w:szCs w:val="24"/>
          <w:lang w:val="ca-ES"/>
        </w:rPr>
        <w:tab/>
      </w:r>
      <w:r>
        <w:rPr>
          <w:sz w:val="24"/>
          <w:szCs w:val="24"/>
          <w:lang w:val="ca-ES"/>
        </w:rPr>
        <w:tab/>
      </w:r>
      <w:r>
        <w:rPr>
          <w:sz w:val="24"/>
          <w:szCs w:val="24"/>
          <w:lang w:val="ca-ES"/>
        </w:rPr>
        <w:tab/>
      </w:r>
      <w:r>
        <w:rPr>
          <w:sz w:val="24"/>
          <w:szCs w:val="24"/>
          <w:lang w:val="ca-ES"/>
        </w:rPr>
        <w:tab/>
      </w:r>
      <w:r>
        <w:rPr>
          <w:sz w:val="24"/>
          <w:szCs w:val="24"/>
          <w:lang w:val="ca-ES"/>
        </w:rPr>
        <w:tab/>
        <w:t>3 punts</w:t>
      </w:r>
    </w:p>
    <w:p w:rsidR="00525087" w:rsidRPr="00525087" w:rsidRDefault="00525087" w:rsidP="00525087">
      <w:pPr>
        <w:pStyle w:val="Pargrafdellista"/>
        <w:numPr>
          <w:ilvl w:val="1"/>
          <w:numId w:val="4"/>
        </w:numPr>
        <w:jc w:val="both"/>
        <w:rPr>
          <w:sz w:val="24"/>
          <w:szCs w:val="24"/>
          <w:lang w:val="ca-ES"/>
        </w:rPr>
      </w:pPr>
      <w:r>
        <w:rPr>
          <w:sz w:val="24"/>
          <w:szCs w:val="24"/>
          <w:lang w:val="ca-ES"/>
        </w:rPr>
        <w:t>5 dies</w:t>
      </w:r>
      <w:r>
        <w:rPr>
          <w:sz w:val="24"/>
          <w:szCs w:val="24"/>
          <w:lang w:val="ca-ES"/>
        </w:rPr>
        <w:tab/>
      </w:r>
      <w:r>
        <w:rPr>
          <w:sz w:val="24"/>
          <w:szCs w:val="24"/>
          <w:lang w:val="ca-ES"/>
        </w:rPr>
        <w:tab/>
      </w:r>
      <w:r>
        <w:rPr>
          <w:sz w:val="24"/>
          <w:szCs w:val="24"/>
          <w:lang w:val="ca-ES"/>
        </w:rPr>
        <w:tab/>
      </w:r>
      <w:r>
        <w:rPr>
          <w:sz w:val="24"/>
          <w:szCs w:val="24"/>
          <w:lang w:val="ca-ES"/>
        </w:rPr>
        <w:tab/>
      </w:r>
      <w:r>
        <w:rPr>
          <w:sz w:val="24"/>
          <w:szCs w:val="24"/>
          <w:lang w:val="ca-ES"/>
        </w:rPr>
        <w:tab/>
      </w:r>
      <w:r>
        <w:rPr>
          <w:sz w:val="24"/>
          <w:szCs w:val="24"/>
          <w:lang w:val="ca-ES"/>
        </w:rPr>
        <w:tab/>
      </w:r>
      <w:r>
        <w:rPr>
          <w:sz w:val="24"/>
          <w:szCs w:val="24"/>
          <w:lang w:val="ca-ES"/>
        </w:rPr>
        <w:tab/>
      </w:r>
      <w:r>
        <w:rPr>
          <w:sz w:val="24"/>
          <w:szCs w:val="24"/>
          <w:lang w:val="ca-ES"/>
        </w:rPr>
        <w:tab/>
        <w:t>4 punts</w:t>
      </w:r>
    </w:p>
    <w:p w:rsidR="00525087" w:rsidRDefault="00525087" w:rsidP="00525087">
      <w:pPr>
        <w:pStyle w:val="Pargrafdellista"/>
        <w:numPr>
          <w:ilvl w:val="0"/>
          <w:numId w:val="4"/>
        </w:numPr>
        <w:jc w:val="both"/>
        <w:rPr>
          <w:sz w:val="24"/>
          <w:szCs w:val="24"/>
          <w:lang w:val="ca-ES"/>
        </w:rPr>
      </w:pPr>
      <w:r>
        <w:rPr>
          <w:sz w:val="24"/>
          <w:szCs w:val="24"/>
          <w:lang w:val="ca-ES"/>
        </w:rPr>
        <w:t>Activitats addicionals a la impartició de la docència amb impacte pel</w:t>
      </w:r>
      <w:r w:rsidR="00B855DD">
        <w:rPr>
          <w:sz w:val="24"/>
          <w:szCs w:val="24"/>
          <w:lang w:val="ca-ES"/>
        </w:rPr>
        <w:t xml:space="preserve"> Centre Docent que avala la sol·</w:t>
      </w:r>
      <w:r w:rsidR="0078690C">
        <w:rPr>
          <w:sz w:val="24"/>
          <w:szCs w:val="24"/>
          <w:lang w:val="ca-ES"/>
        </w:rPr>
        <w:t>licitud</w:t>
      </w:r>
      <w:r w:rsidR="00AC18AD">
        <w:rPr>
          <w:sz w:val="24"/>
          <w:szCs w:val="24"/>
          <w:lang w:val="ca-ES"/>
        </w:rPr>
        <w:t xml:space="preserve"> (a valorar pel Centre)</w:t>
      </w:r>
      <w:r w:rsidR="00410281">
        <w:rPr>
          <w:sz w:val="24"/>
          <w:szCs w:val="24"/>
          <w:lang w:val="ca-ES"/>
        </w:rPr>
        <w:t xml:space="preserve"> </w:t>
      </w:r>
      <w:r w:rsidR="0078690C">
        <w:rPr>
          <w:sz w:val="24"/>
          <w:szCs w:val="24"/>
          <w:lang w:val="ca-ES"/>
        </w:rPr>
        <w:t>fins a</w:t>
      </w:r>
      <w:r w:rsidR="0078690C">
        <w:rPr>
          <w:sz w:val="24"/>
          <w:szCs w:val="24"/>
          <w:lang w:val="ca-ES"/>
        </w:rPr>
        <w:tab/>
      </w:r>
      <w:r>
        <w:rPr>
          <w:sz w:val="24"/>
          <w:szCs w:val="24"/>
          <w:lang w:val="ca-ES"/>
        </w:rPr>
        <w:t>1 punt</w:t>
      </w:r>
    </w:p>
    <w:p w:rsidR="00C06719" w:rsidRDefault="00525087" w:rsidP="00525087">
      <w:pPr>
        <w:pStyle w:val="Pargrafdellista"/>
        <w:numPr>
          <w:ilvl w:val="0"/>
          <w:numId w:val="4"/>
        </w:numPr>
        <w:jc w:val="both"/>
        <w:rPr>
          <w:sz w:val="24"/>
          <w:szCs w:val="24"/>
          <w:lang w:val="ca-ES"/>
        </w:rPr>
      </w:pPr>
      <w:r>
        <w:rPr>
          <w:sz w:val="24"/>
          <w:szCs w:val="24"/>
          <w:lang w:val="ca-ES"/>
        </w:rPr>
        <w:t xml:space="preserve">Priorització del Centre Docent </w:t>
      </w:r>
      <w:r w:rsidR="00AC18AD">
        <w:rPr>
          <w:sz w:val="24"/>
          <w:szCs w:val="24"/>
          <w:lang w:val="ca-ES"/>
        </w:rPr>
        <w:t xml:space="preserve">de les </w:t>
      </w:r>
      <w:r w:rsidR="00A333FE">
        <w:rPr>
          <w:sz w:val="24"/>
          <w:szCs w:val="24"/>
          <w:lang w:val="ca-ES"/>
        </w:rPr>
        <w:t>sol·licituds</w:t>
      </w:r>
      <w:r w:rsidR="00AC18AD">
        <w:rPr>
          <w:sz w:val="24"/>
          <w:szCs w:val="24"/>
          <w:lang w:val="ca-ES"/>
        </w:rPr>
        <w:t xml:space="preserve"> que rebi</w:t>
      </w:r>
      <w:r>
        <w:rPr>
          <w:sz w:val="24"/>
          <w:szCs w:val="24"/>
          <w:lang w:val="ca-ES"/>
        </w:rPr>
        <w:t xml:space="preserve"> </w:t>
      </w:r>
      <w:r w:rsidR="00AC18AD">
        <w:rPr>
          <w:sz w:val="24"/>
          <w:szCs w:val="24"/>
          <w:lang w:val="ca-ES"/>
        </w:rPr>
        <w:t xml:space="preserve">de l’1 a l’n, atorgant el mateix valor només a una </w:t>
      </w:r>
      <w:r w:rsidR="00A333FE">
        <w:rPr>
          <w:sz w:val="24"/>
          <w:szCs w:val="24"/>
          <w:lang w:val="ca-ES"/>
        </w:rPr>
        <w:t>sol·licitud</w:t>
      </w:r>
      <w:r>
        <w:rPr>
          <w:sz w:val="24"/>
          <w:szCs w:val="24"/>
          <w:lang w:val="ca-ES"/>
        </w:rPr>
        <w:tab/>
      </w:r>
      <w:r w:rsidR="00281938">
        <w:rPr>
          <w:sz w:val="24"/>
          <w:szCs w:val="24"/>
          <w:lang w:val="ca-ES"/>
        </w:rPr>
        <w:t xml:space="preserve"> </w:t>
      </w:r>
    </w:p>
    <w:p w:rsidR="00A333FE" w:rsidRPr="00A333FE" w:rsidRDefault="00A333FE" w:rsidP="0078690C">
      <w:pPr>
        <w:ind w:left="142" w:hanging="1"/>
        <w:jc w:val="both"/>
        <w:rPr>
          <w:sz w:val="24"/>
          <w:szCs w:val="24"/>
          <w:lang w:val="ca-ES"/>
        </w:rPr>
      </w:pPr>
      <w:r>
        <w:rPr>
          <w:rFonts w:cs="Helv"/>
          <w:color w:val="000000"/>
          <w:sz w:val="24"/>
          <w:szCs w:val="24"/>
          <w:lang w:val="ca-ES"/>
        </w:rPr>
        <w:t>L</w:t>
      </w:r>
      <w:r w:rsidRPr="00A333FE">
        <w:rPr>
          <w:rFonts w:cs="Helv"/>
          <w:color w:val="000000"/>
          <w:sz w:val="24"/>
          <w:szCs w:val="24"/>
          <w:lang w:val="ca-ES"/>
        </w:rPr>
        <w:t>es valoracions es precisaran amb un numero sencer i un decimal. Un cop valorats tots els criteris, el centre prioritzar</w:t>
      </w:r>
      <w:r>
        <w:rPr>
          <w:rFonts w:cs="Helv"/>
          <w:color w:val="000000"/>
          <w:sz w:val="24"/>
          <w:szCs w:val="24"/>
          <w:lang w:val="ca-ES"/>
        </w:rPr>
        <w:t>à</w:t>
      </w:r>
      <w:r w:rsidRPr="00A333FE">
        <w:rPr>
          <w:rFonts w:cs="Helv"/>
          <w:color w:val="000000"/>
          <w:sz w:val="24"/>
          <w:szCs w:val="24"/>
          <w:lang w:val="ca-ES"/>
        </w:rPr>
        <w:t xml:space="preserve"> totes les sol·licituds que li arribin. Aquesta prioritzaci</w:t>
      </w:r>
      <w:r>
        <w:rPr>
          <w:rFonts w:cs="Helv"/>
          <w:color w:val="000000"/>
          <w:sz w:val="24"/>
          <w:szCs w:val="24"/>
          <w:lang w:val="ca-ES"/>
        </w:rPr>
        <w:t>ó</w:t>
      </w:r>
      <w:r w:rsidRPr="00A333FE">
        <w:rPr>
          <w:rFonts w:cs="Helv"/>
          <w:color w:val="000000"/>
          <w:sz w:val="24"/>
          <w:szCs w:val="24"/>
          <w:lang w:val="ca-ES"/>
        </w:rPr>
        <w:t xml:space="preserve"> no pot reflectir cap empat.</w:t>
      </w:r>
    </w:p>
    <w:p w:rsidR="00C06719" w:rsidRDefault="00281938" w:rsidP="0078690C">
      <w:pPr>
        <w:ind w:left="142" w:hanging="1"/>
        <w:jc w:val="both"/>
        <w:rPr>
          <w:sz w:val="24"/>
          <w:szCs w:val="24"/>
          <w:lang w:val="ca-ES"/>
        </w:rPr>
      </w:pPr>
      <w:r>
        <w:rPr>
          <w:sz w:val="24"/>
          <w:szCs w:val="24"/>
          <w:lang w:val="ca-ES"/>
        </w:rPr>
        <w:t>Només es podrà</w:t>
      </w:r>
      <w:r w:rsidR="00AC18AD">
        <w:rPr>
          <w:sz w:val="24"/>
          <w:szCs w:val="24"/>
          <w:lang w:val="ca-ES"/>
        </w:rPr>
        <w:t xml:space="preserve"> atorgar més d’un ajut a la mateixa persona si no s’exhaureix el pressupost al final del curs.</w:t>
      </w:r>
    </w:p>
    <w:p w:rsidR="00525087" w:rsidRPr="00C06719" w:rsidRDefault="00525087" w:rsidP="000C1330">
      <w:pPr>
        <w:jc w:val="both"/>
        <w:rPr>
          <w:sz w:val="24"/>
          <w:szCs w:val="24"/>
          <w:lang w:val="ca-ES"/>
        </w:rPr>
      </w:pPr>
      <w:r w:rsidRPr="00C06719">
        <w:rPr>
          <w:sz w:val="24"/>
          <w:szCs w:val="24"/>
          <w:lang w:val="ca-ES"/>
        </w:rPr>
        <w:tab/>
      </w:r>
      <w:r w:rsidRPr="00C06719">
        <w:rPr>
          <w:sz w:val="24"/>
          <w:szCs w:val="24"/>
          <w:lang w:val="ca-ES"/>
        </w:rPr>
        <w:tab/>
      </w:r>
      <w:r w:rsidRPr="00C06719">
        <w:rPr>
          <w:sz w:val="24"/>
          <w:szCs w:val="24"/>
          <w:lang w:val="ca-ES"/>
        </w:rPr>
        <w:tab/>
      </w:r>
      <w:r w:rsidR="00C06719">
        <w:rPr>
          <w:sz w:val="24"/>
          <w:szCs w:val="24"/>
          <w:lang w:val="ca-ES"/>
        </w:rPr>
        <w:tab/>
      </w:r>
    </w:p>
    <w:p w:rsidR="00525087" w:rsidRDefault="00525087" w:rsidP="000C1330">
      <w:pPr>
        <w:jc w:val="both"/>
        <w:rPr>
          <w:b/>
          <w:sz w:val="24"/>
          <w:szCs w:val="24"/>
          <w:lang w:val="ca-ES"/>
        </w:rPr>
      </w:pPr>
      <w:r>
        <w:rPr>
          <w:b/>
          <w:sz w:val="24"/>
          <w:szCs w:val="24"/>
          <w:lang w:val="ca-ES"/>
        </w:rPr>
        <w:t>VIII.- RESOLUCIÓ</w:t>
      </w:r>
    </w:p>
    <w:p w:rsidR="00525087" w:rsidRDefault="00525087" w:rsidP="000C1330">
      <w:pPr>
        <w:jc w:val="both"/>
        <w:rPr>
          <w:sz w:val="24"/>
          <w:szCs w:val="24"/>
          <w:lang w:val="ca-ES"/>
        </w:rPr>
      </w:pPr>
      <w:r>
        <w:rPr>
          <w:sz w:val="24"/>
          <w:szCs w:val="24"/>
          <w:lang w:val="ca-ES"/>
        </w:rPr>
        <w:lastRenderedPageBreak/>
        <w:t xml:space="preserve">Els ajuts es resoldran en un termini </w:t>
      </w:r>
      <w:r w:rsidR="00103A81">
        <w:rPr>
          <w:sz w:val="24"/>
          <w:szCs w:val="24"/>
          <w:lang w:val="ca-ES"/>
        </w:rPr>
        <w:t>màxim d’un mes</w:t>
      </w:r>
      <w:r>
        <w:rPr>
          <w:sz w:val="24"/>
          <w:szCs w:val="24"/>
          <w:lang w:val="ca-ES"/>
        </w:rPr>
        <w:t xml:space="preserve"> des de l’acabament del termini de </w:t>
      </w:r>
      <w:r w:rsidR="00510F9D">
        <w:rPr>
          <w:sz w:val="24"/>
          <w:szCs w:val="24"/>
          <w:lang w:val="ca-ES"/>
        </w:rPr>
        <w:t>sol·licituds</w:t>
      </w:r>
      <w:r>
        <w:rPr>
          <w:sz w:val="24"/>
          <w:szCs w:val="24"/>
          <w:lang w:val="ca-ES"/>
        </w:rPr>
        <w:t xml:space="preserve">. </w:t>
      </w:r>
    </w:p>
    <w:p w:rsidR="00A65FC1" w:rsidRDefault="00A65FC1" w:rsidP="000C1330">
      <w:pPr>
        <w:jc w:val="both"/>
        <w:rPr>
          <w:sz w:val="24"/>
          <w:szCs w:val="24"/>
          <w:lang w:val="ca-ES"/>
        </w:rPr>
      </w:pPr>
      <w:r>
        <w:rPr>
          <w:sz w:val="24"/>
          <w:szCs w:val="24"/>
          <w:lang w:val="ca-ES"/>
        </w:rPr>
        <w:t xml:space="preserve">Les </w:t>
      </w:r>
      <w:r w:rsidR="00510F9D">
        <w:rPr>
          <w:sz w:val="24"/>
          <w:szCs w:val="24"/>
          <w:lang w:val="ca-ES"/>
        </w:rPr>
        <w:t>sol·licituds</w:t>
      </w:r>
      <w:r>
        <w:rPr>
          <w:sz w:val="24"/>
          <w:szCs w:val="24"/>
          <w:lang w:val="ca-ES"/>
        </w:rPr>
        <w:t xml:space="preserve"> no seleccionades formaran part d’una llista d’espera i cas que, durant el curs es produeixin renúncies o es produeixi un increment en la disponibilitat pressupostària per a aquesta acció, podran formar part dels beneficiaris de l’ajut per estricte ordre de llista.</w:t>
      </w:r>
    </w:p>
    <w:p w:rsidR="00525087" w:rsidRDefault="00C06719" w:rsidP="000C1330">
      <w:pPr>
        <w:jc w:val="both"/>
        <w:rPr>
          <w:sz w:val="24"/>
          <w:szCs w:val="24"/>
          <w:lang w:val="ca-ES"/>
        </w:rPr>
      </w:pPr>
      <w:r>
        <w:rPr>
          <w:sz w:val="24"/>
          <w:szCs w:val="24"/>
          <w:lang w:val="ca-ES"/>
        </w:rPr>
        <w:t xml:space="preserve">Els </w:t>
      </w:r>
      <w:r w:rsidR="00510F9D">
        <w:rPr>
          <w:sz w:val="24"/>
          <w:szCs w:val="24"/>
          <w:lang w:val="ca-ES"/>
        </w:rPr>
        <w:t>sol·licitants</w:t>
      </w:r>
      <w:r>
        <w:rPr>
          <w:sz w:val="24"/>
          <w:szCs w:val="24"/>
          <w:lang w:val="ca-ES"/>
        </w:rPr>
        <w:t xml:space="preserve"> que quedin sense ajut podran realitzar igualment l’estada </w:t>
      </w:r>
      <w:r w:rsidR="00A333FE">
        <w:rPr>
          <w:sz w:val="24"/>
          <w:szCs w:val="24"/>
          <w:lang w:val="ca-ES"/>
        </w:rPr>
        <w:t>Erasmus</w:t>
      </w:r>
      <w:r w:rsidR="00A334DB">
        <w:rPr>
          <w:sz w:val="24"/>
          <w:szCs w:val="24"/>
          <w:lang w:val="ca-ES"/>
        </w:rPr>
        <w:t>+</w:t>
      </w:r>
      <w:r>
        <w:rPr>
          <w:sz w:val="24"/>
          <w:szCs w:val="24"/>
          <w:lang w:val="ca-ES"/>
        </w:rPr>
        <w:t xml:space="preserve"> Docència sempre que lliurin </w:t>
      </w:r>
      <w:r w:rsidR="00103A81">
        <w:rPr>
          <w:sz w:val="24"/>
          <w:szCs w:val="24"/>
          <w:lang w:val="ca-ES"/>
        </w:rPr>
        <w:t xml:space="preserve"> </w:t>
      </w:r>
      <w:r w:rsidR="00AC18AD">
        <w:rPr>
          <w:sz w:val="24"/>
          <w:szCs w:val="24"/>
          <w:lang w:val="ca-ES"/>
        </w:rPr>
        <w:t>al Gabinet de Relacions Institucionals i Internacionalització</w:t>
      </w:r>
      <w:r w:rsidR="00103A81">
        <w:rPr>
          <w:sz w:val="24"/>
          <w:szCs w:val="24"/>
          <w:lang w:val="ca-ES"/>
        </w:rPr>
        <w:t xml:space="preserve"> </w:t>
      </w:r>
      <w:r>
        <w:rPr>
          <w:sz w:val="24"/>
          <w:szCs w:val="24"/>
          <w:lang w:val="ca-ES"/>
        </w:rPr>
        <w:t>tota la documentació requerida per a participar en el programa. En aquest cas, passaran a ser considerats “personal amb ajut Erasmus zero”, tal com preveu la pròpia Comissió Europea.</w:t>
      </w:r>
    </w:p>
    <w:p w:rsidR="00C06719" w:rsidRDefault="00C06719" w:rsidP="000C1330">
      <w:pPr>
        <w:jc w:val="both"/>
        <w:rPr>
          <w:sz w:val="24"/>
          <w:szCs w:val="24"/>
          <w:lang w:val="ca-ES"/>
        </w:rPr>
      </w:pPr>
      <w:r>
        <w:rPr>
          <w:sz w:val="24"/>
          <w:szCs w:val="24"/>
          <w:lang w:val="ca-ES"/>
        </w:rPr>
        <w:t xml:space="preserve">Finalitzat el termini de presentació de </w:t>
      </w:r>
      <w:r w:rsidR="00510F9D">
        <w:rPr>
          <w:sz w:val="24"/>
          <w:szCs w:val="24"/>
          <w:lang w:val="ca-ES"/>
        </w:rPr>
        <w:t>sol·licituds</w:t>
      </w:r>
      <w:r>
        <w:rPr>
          <w:sz w:val="24"/>
          <w:szCs w:val="24"/>
          <w:lang w:val="ca-ES"/>
        </w:rPr>
        <w:t xml:space="preserve"> es publicarà a</w:t>
      </w:r>
      <w:r w:rsidR="00AC18AD">
        <w:rPr>
          <w:sz w:val="24"/>
          <w:szCs w:val="24"/>
          <w:lang w:val="ca-ES"/>
        </w:rPr>
        <w:t xml:space="preserve"> la web del Gabinet de Relacions Institucionals i Internacionalització, amb notificació de la resolució als Centres Docents, </w:t>
      </w:r>
      <w:r>
        <w:rPr>
          <w:sz w:val="24"/>
          <w:szCs w:val="24"/>
          <w:lang w:val="ca-ES"/>
        </w:rPr>
        <w:t xml:space="preserve"> la llista provisional d’admesos i exclosos. Els interessats disposaran d’un termini de </w:t>
      </w:r>
      <w:r w:rsidR="00103A81">
        <w:rPr>
          <w:sz w:val="24"/>
          <w:szCs w:val="24"/>
          <w:lang w:val="ca-ES"/>
        </w:rPr>
        <w:t>10</w:t>
      </w:r>
      <w:r>
        <w:rPr>
          <w:sz w:val="24"/>
          <w:szCs w:val="24"/>
          <w:lang w:val="ca-ES"/>
        </w:rPr>
        <w:t xml:space="preserve"> dies per a esmenar defectes i presentar </w:t>
      </w:r>
      <w:r w:rsidR="00510F9D">
        <w:rPr>
          <w:sz w:val="24"/>
          <w:szCs w:val="24"/>
          <w:lang w:val="ca-ES"/>
        </w:rPr>
        <w:t>al·legacions</w:t>
      </w:r>
      <w:r>
        <w:rPr>
          <w:sz w:val="24"/>
          <w:szCs w:val="24"/>
          <w:lang w:val="ca-ES"/>
        </w:rPr>
        <w:t>.</w:t>
      </w:r>
    </w:p>
    <w:p w:rsidR="00C06719" w:rsidRDefault="00C06719" w:rsidP="000C1330">
      <w:pPr>
        <w:jc w:val="both"/>
        <w:rPr>
          <w:sz w:val="24"/>
          <w:szCs w:val="24"/>
          <w:lang w:val="ca-ES"/>
        </w:rPr>
      </w:pPr>
      <w:r>
        <w:rPr>
          <w:sz w:val="24"/>
          <w:szCs w:val="24"/>
          <w:lang w:val="ca-ES"/>
        </w:rPr>
        <w:t xml:space="preserve">La llista de beneficiaris es farà pública </w:t>
      </w:r>
      <w:r w:rsidR="00AC18AD">
        <w:rPr>
          <w:sz w:val="24"/>
          <w:szCs w:val="24"/>
          <w:lang w:val="ca-ES"/>
        </w:rPr>
        <w:t>a la web del Gabinet de Relacions Institucionals i Internacionalització, amb notificació als Centres Docents</w:t>
      </w:r>
      <w:r>
        <w:rPr>
          <w:sz w:val="24"/>
          <w:szCs w:val="24"/>
          <w:lang w:val="ca-ES"/>
        </w:rPr>
        <w:t>. Així mateix, els candidats seleccionats rebran notificació personal a la seva adreça de correu electrònic de la UPC.</w:t>
      </w:r>
    </w:p>
    <w:p w:rsidR="00A65FC1" w:rsidRDefault="00A65FC1" w:rsidP="000C1330">
      <w:pPr>
        <w:jc w:val="both"/>
        <w:rPr>
          <w:sz w:val="24"/>
          <w:szCs w:val="24"/>
          <w:lang w:val="ca-ES"/>
        </w:rPr>
      </w:pPr>
      <w:r>
        <w:rPr>
          <w:sz w:val="24"/>
          <w:szCs w:val="24"/>
          <w:lang w:val="ca-ES"/>
        </w:rPr>
        <w:t xml:space="preserve">La concessió d’aquests ajuts no eximeix el personal de la UPC de l’obligació de </w:t>
      </w:r>
      <w:r w:rsidR="00510F9D">
        <w:rPr>
          <w:sz w:val="24"/>
          <w:szCs w:val="24"/>
          <w:lang w:val="ca-ES"/>
        </w:rPr>
        <w:t>sol·licitar</w:t>
      </w:r>
      <w:r>
        <w:rPr>
          <w:sz w:val="24"/>
          <w:szCs w:val="24"/>
          <w:lang w:val="ca-ES"/>
        </w:rPr>
        <w:t xml:space="preserve"> els permisos per absència de lloc de treball, d’acord amb la normativa vigent.</w:t>
      </w:r>
    </w:p>
    <w:p w:rsidR="00A334DB" w:rsidRDefault="00A334DB" w:rsidP="000C1330">
      <w:pPr>
        <w:jc w:val="both"/>
        <w:rPr>
          <w:sz w:val="24"/>
          <w:szCs w:val="24"/>
          <w:lang w:val="ca-ES"/>
        </w:rPr>
      </w:pPr>
    </w:p>
    <w:p w:rsidR="00525087" w:rsidRDefault="00525087" w:rsidP="000C1330">
      <w:pPr>
        <w:jc w:val="both"/>
        <w:rPr>
          <w:b/>
          <w:sz w:val="24"/>
          <w:szCs w:val="24"/>
          <w:lang w:val="ca-ES"/>
        </w:rPr>
      </w:pPr>
      <w:r>
        <w:rPr>
          <w:b/>
          <w:sz w:val="24"/>
          <w:szCs w:val="24"/>
          <w:lang w:val="ca-ES"/>
        </w:rPr>
        <w:t>I</w:t>
      </w:r>
      <w:r w:rsidR="00C06719">
        <w:rPr>
          <w:b/>
          <w:sz w:val="24"/>
          <w:szCs w:val="24"/>
          <w:lang w:val="ca-ES"/>
        </w:rPr>
        <w:t>X</w:t>
      </w:r>
      <w:r w:rsidRPr="00525087">
        <w:rPr>
          <w:b/>
          <w:sz w:val="24"/>
          <w:szCs w:val="24"/>
          <w:lang w:val="ca-ES"/>
        </w:rPr>
        <w:t>.- PAGAMENT DE L’AJUT</w:t>
      </w:r>
    </w:p>
    <w:p w:rsidR="00525087" w:rsidRDefault="00525087" w:rsidP="000C1330">
      <w:pPr>
        <w:jc w:val="both"/>
        <w:rPr>
          <w:sz w:val="24"/>
          <w:szCs w:val="24"/>
          <w:lang w:val="ca-ES"/>
        </w:rPr>
      </w:pPr>
      <w:r w:rsidRPr="00525087">
        <w:rPr>
          <w:sz w:val="24"/>
          <w:szCs w:val="24"/>
          <w:lang w:val="ca-ES"/>
        </w:rPr>
        <w:t>L’import per a cada beneficiari serà fixat en el Conveni de subvenció que cada beneficiari haurà de signar amb la UPC.</w:t>
      </w:r>
      <w:r>
        <w:rPr>
          <w:sz w:val="24"/>
          <w:szCs w:val="24"/>
          <w:lang w:val="ca-ES"/>
        </w:rPr>
        <w:t xml:space="preserve"> La quantitat de l’import percebut finalment estarà condicionada pel número de dies d’estada reals en la institució d’ensenyament superior de destinació. Aquest número serà el reflectit en el certificat d’assistència expedit per la institució d’acollida, que haurà de ser un original, signat, amb el segell de la institució, sense taxons ni modificacions manuscrites. Si el període</w:t>
      </w:r>
      <w:r w:rsidR="00C06719">
        <w:rPr>
          <w:sz w:val="24"/>
          <w:szCs w:val="24"/>
          <w:lang w:val="ca-ES"/>
        </w:rPr>
        <w:t xml:space="preserve"> r</w:t>
      </w:r>
      <w:r w:rsidR="009919BA">
        <w:rPr>
          <w:sz w:val="24"/>
          <w:szCs w:val="24"/>
          <w:lang w:val="ca-ES"/>
        </w:rPr>
        <w:t>eal d’estada és superior al període</w:t>
      </w:r>
      <w:r w:rsidR="00C06719">
        <w:rPr>
          <w:sz w:val="24"/>
          <w:szCs w:val="24"/>
          <w:lang w:val="ca-ES"/>
        </w:rPr>
        <w:t xml:space="preserve"> previst al Conveni de Subvenció, el beneficiari rebrà ajut només per al període previst al Conveni de Subvenció.</w:t>
      </w:r>
    </w:p>
    <w:p w:rsidR="00C06719" w:rsidRDefault="00C06719" w:rsidP="000C1330">
      <w:pPr>
        <w:jc w:val="both"/>
        <w:rPr>
          <w:sz w:val="24"/>
          <w:szCs w:val="24"/>
          <w:lang w:val="ca-ES"/>
        </w:rPr>
      </w:pPr>
      <w:r>
        <w:rPr>
          <w:sz w:val="24"/>
          <w:szCs w:val="24"/>
          <w:lang w:val="ca-ES"/>
        </w:rPr>
        <w:t>El beneficiari rebrà l’import de l’ajut en dos terminis, sempre i quan la UPC hagi rebut la transferència corresponent de l’OAPEE:</w:t>
      </w:r>
    </w:p>
    <w:p w:rsidR="00C06719" w:rsidRDefault="00AC18AD" w:rsidP="00C06719">
      <w:pPr>
        <w:pStyle w:val="Pargrafdellista"/>
        <w:numPr>
          <w:ilvl w:val="0"/>
          <w:numId w:val="5"/>
        </w:numPr>
        <w:jc w:val="both"/>
        <w:rPr>
          <w:sz w:val="24"/>
          <w:szCs w:val="24"/>
          <w:lang w:val="ca-ES"/>
        </w:rPr>
      </w:pPr>
      <w:r>
        <w:rPr>
          <w:sz w:val="24"/>
          <w:szCs w:val="24"/>
          <w:lang w:val="ca-ES"/>
        </w:rPr>
        <w:t>Un 60</w:t>
      </w:r>
      <w:r w:rsidR="00C06719">
        <w:rPr>
          <w:sz w:val="24"/>
          <w:szCs w:val="24"/>
          <w:lang w:val="ca-ES"/>
        </w:rPr>
        <w:t xml:space="preserve">% abans d’iniciar l’estada (caldrà haver lliurat </w:t>
      </w:r>
      <w:r w:rsidR="00281938">
        <w:rPr>
          <w:sz w:val="24"/>
          <w:szCs w:val="24"/>
          <w:lang w:val="ca-ES"/>
        </w:rPr>
        <w:t>al GRII</w:t>
      </w:r>
      <w:r w:rsidR="00C06719">
        <w:rPr>
          <w:sz w:val="24"/>
          <w:szCs w:val="24"/>
          <w:lang w:val="ca-ES"/>
        </w:rPr>
        <w:t xml:space="preserve"> el conveni de subvenció degudament signat </w:t>
      </w:r>
      <w:r w:rsidR="0010613F">
        <w:rPr>
          <w:sz w:val="24"/>
          <w:szCs w:val="24"/>
          <w:lang w:val="ca-ES"/>
        </w:rPr>
        <w:t>abans d’iniciar l’estada</w:t>
      </w:r>
      <w:r w:rsidR="00C06719">
        <w:rPr>
          <w:sz w:val="24"/>
          <w:szCs w:val="24"/>
          <w:lang w:val="ca-ES"/>
        </w:rPr>
        <w:t>)</w:t>
      </w:r>
    </w:p>
    <w:p w:rsidR="00C06719" w:rsidRDefault="00AC18AD" w:rsidP="00C06719">
      <w:pPr>
        <w:pStyle w:val="Pargrafdellista"/>
        <w:numPr>
          <w:ilvl w:val="0"/>
          <w:numId w:val="5"/>
        </w:numPr>
        <w:jc w:val="both"/>
        <w:rPr>
          <w:sz w:val="24"/>
          <w:szCs w:val="24"/>
          <w:lang w:val="ca-ES"/>
        </w:rPr>
      </w:pPr>
      <w:r>
        <w:rPr>
          <w:sz w:val="24"/>
          <w:szCs w:val="24"/>
          <w:lang w:val="ca-ES"/>
        </w:rPr>
        <w:lastRenderedPageBreak/>
        <w:t>I el 40</w:t>
      </w:r>
      <w:r w:rsidR="00C06719">
        <w:rPr>
          <w:sz w:val="24"/>
          <w:szCs w:val="24"/>
          <w:lang w:val="ca-ES"/>
        </w:rPr>
        <w:t>% restant</w:t>
      </w:r>
      <w:r w:rsidR="00103A81">
        <w:rPr>
          <w:sz w:val="24"/>
          <w:szCs w:val="24"/>
          <w:lang w:val="ca-ES"/>
        </w:rPr>
        <w:t>, si escau,</w:t>
      </w:r>
      <w:r w:rsidR="00C06719">
        <w:rPr>
          <w:sz w:val="24"/>
          <w:szCs w:val="24"/>
          <w:lang w:val="ca-ES"/>
        </w:rPr>
        <w:t xml:space="preserve"> un cop lliurats tots els documents justificatius que s’especifiquen en les bases de la convocatòria</w:t>
      </w:r>
      <w:r w:rsidR="00103A81">
        <w:rPr>
          <w:sz w:val="24"/>
          <w:szCs w:val="24"/>
          <w:lang w:val="ca-ES"/>
        </w:rPr>
        <w:t>, el conveni de subvenció Erasmus+ per docència, així com altra documentació justificativa que pugui requerir la UPC per a tramitació de l’ajut</w:t>
      </w:r>
      <w:r w:rsidR="00C06719">
        <w:rPr>
          <w:sz w:val="24"/>
          <w:szCs w:val="24"/>
          <w:lang w:val="ca-ES"/>
        </w:rPr>
        <w:t>.</w:t>
      </w:r>
    </w:p>
    <w:p w:rsidR="00A65FC1" w:rsidRDefault="00C06719" w:rsidP="00C06719">
      <w:pPr>
        <w:jc w:val="both"/>
        <w:rPr>
          <w:sz w:val="24"/>
          <w:szCs w:val="24"/>
          <w:lang w:val="ca-ES"/>
        </w:rPr>
      </w:pPr>
      <w:r>
        <w:rPr>
          <w:sz w:val="24"/>
          <w:szCs w:val="24"/>
          <w:lang w:val="ca-ES"/>
        </w:rPr>
        <w:t xml:space="preserve">L’import de l’ajut es farà efectiu al número de compte bancari que el beneficiari </w:t>
      </w:r>
      <w:r w:rsidR="00281938">
        <w:rPr>
          <w:sz w:val="24"/>
          <w:szCs w:val="24"/>
          <w:lang w:val="ca-ES"/>
        </w:rPr>
        <w:t>indiqui.</w:t>
      </w:r>
    </w:p>
    <w:p w:rsidR="00A65FC1" w:rsidRDefault="009929EB" w:rsidP="00C06719">
      <w:pPr>
        <w:jc w:val="both"/>
        <w:rPr>
          <w:sz w:val="24"/>
          <w:szCs w:val="24"/>
          <w:lang w:val="ca-ES"/>
        </w:rPr>
      </w:pPr>
      <w:r>
        <w:rPr>
          <w:sz w:val="24"/>
          <w:szCs w:val="24"/>
          <w:lang w:val="ca-ES"/>
        </w:rPr>
        <w:t>La presentació de la sol·</w:t>
      </w:r>
      <w:r w:rsidR="00A65FC1">
        <w:rPr>
          <w:sz w:val="24"/>
          <w:szCs w:val="24"/>
          <w:lang w:val="ca-ES"/>
        </w:rPr>
        <w:t>licitud implica l’acceptació de les condicions d’aquesta convocatòria en la seva totalitat.</w:t>
      </w:r>
    </w:p>
    <w:p w:rsidR="00A334DB" w:rsidRDefault="00A65FC1" w:rsidP="00226890">
      <w:pPr>
        <w:jc w:val="both"/>
        <w:rPr>
          <w:sz w:val="24"/>
          <w:szCs w:val="24"/>
          <w:lang w:val="ca-ES"/>
        </w:rPr>
      </w:pPr>
      <w:r>
        <w:rPr>
          <w:sz w:val="24"/>
          <w:szCs w:val="24"/>
          <w:lang w:val="ca-ES"/>
        </w:rPr>
        <w:t>En cas d’incompliment de les condicions d’aquesta convocatòria i, en general, quan concorri algun dels supòsits previstos a l’article 37 de la Llei 38/2003, de 17 de novembre, general de subvencions, la persona beneficiària haurà de retornar l’import de l’ajut i l’interès de demora corresponent des del moment del pagament de la subvenció fins a la data que s’acordi el reintegrament, prèvia la incoació del corresponent procediment.</w:t>
      </w:r>
    </w:p>
    <w:p w:rsidR="00586DAF" w:rsidRDefault="00586DAF" w:rsidP="00C06719">
      <w:pPr>
        <w:jc w:val="both"/>
        <w:rPr>
          <w:sz w:val="24"/>
          <w:szCs w:val="24"/>
          <w:lang w:val="ca-ES"/>
        </w:rPr>
      </w:pPr>
    </w:p>
    <w:p w:rsidR="00C06719" w:rsidRDefault="00C06719" w:rsidP="00C06719">
      <w:pPr>
        <w:jc w:val="both"/>
        <w:rPr>
          <w:b/>
          <w:sz w:val="24"/>
          <w:szCs w:val="24"/>
          <w:lang w:val="ca-ES"/>
        </w:rPr>
      </w:pPr>
      <w:r w:rsidRPr="00A65FC1">
        <w:rPr>
          <w:b/>
          <w:sz w:val="24"/>
          <w:szCs w:val="24"/>
          <w:lang w:val="ca-ES"/>
        </w:rPr>
        <w:t>X</w:t>
      </w:r>
      <w:r w:rsidR="00A65FC1" w:rsidRPr="00A65FC1">
        <w:rPr>
          <w:b/>
          <w:sz w:val="24"/>
          <w:szCs w:val="24"/>
          <w:lang w:val="ca-ES"/>
        </w:rPr>
        <w:t>I</w:t>
      </w:r>
      <w:r w:rsidRPr="00A65FC1">
        <w:rPr>
          <w:b/>
          <w:sz w:val="24"/>
          <w:szCs w:val="24"/>
          <w:lang w:val="ca-ES"/>
        </w:rPr>
        <w:t xml:space="preserve">. </w:t>
      </w:r>
      <w:r w:rsidR="00A65FC1" w:rsidRPr="00A65FC1">
        <w:rPr>
          <w:b/>
          <w:sz w:val="24"/>
          <w:szCs w:val="24"/>
          <w:lang w:val="ca-ES"/>
        </w:rPr>
        <w:t>RENÚNCIA A L’AJUT</w:t>
      </w:r>
    </w:p>
    <w:p w:rsidR="00A65FC1" w:rsidRDefault="00A65FC1" w:rsidP="00C06719">
      <w:pPr>
        <w:jc w:val="both"/>
        <w:rPr>
          <w:sz w:val="24"/>
          <w:szCs w:val="24"/>
          <w:lang w:val="ca-ES"/>
        </w:rPr>
      </w:pPr>
      <w:r>
        <w:rPr>
          <w:sz w:val="24"/>
          <w:szCs w:val="24"/>
          <w:lang w:val="ca-ES"/>
        </w:rPr>
        <w:t>La renúncia a l’ajut s’ha d’adreçar, mitjançant un escrit motivat a</w:t>
      </w:r>
      <w:r w:rsidR="00AC18AD">
        <w:rPr>
          <w:sz w:val="24"/>
          <w:szCs w:val="24"/>
          <w:lang w:val="ca-ES"/>
        </w:rPr>
        <w:t>l Gabinet de Relacions Institucionals i Internacionalització, que el notificarà al Centre Docent</w:t>
      </w:r>
      <w:r>
        <w:rPr>
          <w:sz w:val="24"/>
          <w:szCs w:val="24"/>
          <w:lang w:val="ca-ES"/>
        </w:rPr>
        <w:t>.</w:t>
      </w:r>
    </w:p>
    <w:p w:rsidR="00A65FC1" w:rsidRDefault="00A65FC1" w:rsidP="00C06719">
      <w:pPr>
        <w:jc w:val="both"/>
        <w:rPr>
          <w:sz w:val="24"/>
          <w:szCs w:val="24"/>
          <w:lang w:val="ca-ES"/>
        </w:rPr>
      </w:pPr>
      <w:r>
        <w:rPr>
          <w:sz w:val="24"/>
          <w:szCs w:val="24"/>
          <w:lang w:val="ca-ES"/>
        </w:rPr>
        <w:t>La no realització de l’estada de mobilitat, per qualsevol motiu, o la no presentació de la documentació requerida, també implicarà la renúncia o la devolució de la part de l’ajut cobrat.</w:t>
      </w:r>
    </w:p>
    <w:p w:rsidR="00A334DB" w:rsidRDefault="00A334DB" w:rsidP="00C06719">
      <w:pPr>
        <w:jc w:val="both"/>
        <w:rPr>
          <w:sz w:val="24"/>
          <w:szCs w:val="24"/>
          <w:lang w:val="ca-ES"/>
        </w:rPr>
      </w:pPr>
    </w:p>
    <w:p w:rsidR="00A65FC1" w:rsidRDefault="00A65FC1" w:rsidP="00C06719">
      <w:pPr>
        <w:jc w:val="both"/>
        <w:rPr>
          <w:b/>
          <w:sz w:val="24"/>
          <w:szCs w:val="24"/>
          <w:lang w:val="ca-ES"/>
        </w:rPr>
      </w:pPr>
      <w:r>
        <w:rPr>
          <w:b/>
          <w:sz w:val="24"/>
          <w:szCs w:val="24"/>
          <w:lang w:val="ca-ES"/>
        </w:rPr>
        <w:t>XII.- DRETS I DEURES DELS BENEFICIARIS</w:t>
      </w:r>
    </w:p>
    <w:p w:rsidR="00A65FC1" w:rsidRDefault="00A65FC1" w:rsidP="00C06719">
      <w:pPr>
        <w:jc w:val="both"/>
        <w:rPr>
          <w:sz w:val="24"/>
          <w:szCs w:val="24"/>
          <w:lang w:val="ca-ES"/>
        </w:rPr>
      </w:pPr>
      <w:r>
        <w:rPr>
          <w:sz w:val="24"/>
          <w:szCs w:val="24"/>
          <w:lang w:val="ca-ES"/>
        </w:rPr>
        <w:t>Els beneficiaris tindran els drets i hauran de respectar les normes i obligacions continguts al conveni de subvenció signat amb la UPC.</w:t>
      </w:r>
    </w:p>
    <w:p w:rsidR="00A65FC1" w:rsidRDefault="00A65FC1" w:rsidP="00C06719">
      <w:pPr>
        <w:jc w:val="both"/>
        <w:rPr>
          <w:sz w:val="24"/>
          <w:szCs w:val="24"/>
          <w:lang w:val="ca-ES"/>
        </w:rPr>
      </w:pPr>
      <w:r>
        <w:rPr>
          <w:sz w:val="24"/>
          <w:szCs w:val="24"/>
          <w:lang w:val="ca-ES"/>
        </w:rPr>
        <w:t>La contractació de l’assegurança d’assistència mèdica, si escau, del transport i de l’allotjament, així com la concreció dels detalls de l’estada seran responsabilitat del beneficiari.</w:t>
      </w:r>
    </w:p>
    <w:p w:rsidR="00A334DB" w:rsidRDefault="00A334DB" w:rsidP="00C06719">
      <w:pPr>
        <w:jc w:val="both"/>
        <w:rPr>
          <w:sz w:val="24"/>
          <w:szCs w:val="24"/>
          <w:lang w:val="ca-ES"/>
        </w:rPr>
      </w:pPr>
    </w:p>
    <w:p w:rsidR="005B4736" w:rsidRDefault="005B4736" w:rsidP="00C06719">
      <w:pPr>
        <w:jc w:val="both"/>
        <w:rPr>
          <w:b/>
          <w:sz w:val="24"/>
          <w:szCs w:val="24"/>
          <w:lang w:val="ca-ES"/>
        </w:rPr>
      </w:pPr>
      <w:r w:rsidRPr="005B4736">
        <w:rPr>
          <w:b/>
          <w:sz w:val="24"/>
          <w:szCs w:val="24"/>
          <w:lang w:val="ca-ES"/>
        </w:rPr>
        <w:t>XIII.- INCOMPATIBILITATS</w:t>
      </w:r>
    </w:p>
    <w:p w:rsidR="005B4736" w:rsidRDefault="005B4736" w:rsidP="00C06719">
      <w:pPr>
        <w:jc w:val="both"/>
        <w:rPr>
          <w:sz w:val="24"/>
          <w:szCs w:val="24"/>
          <w:lang w:val="ca-ES"/>
        </w:rPr>
      </w:pPr>
      <w:r>
        <w:rPr>
          <w:sz w:val="24"/>
          <w:szCs w:val="24"/>
          <w:lang w:val="ca-ES"/>
        </w:rPr>
        <w:t xml:space="preserve">Els ajuts Erasmus+ Docència estan concebuts com un complement per cobrir part de les despeses addicionals que suposa el desplaçament a l’estranger per al personal de </w:t>
      </w:r>
      <w:r>
        <w:rPr>
          <w:sz w:val="24"/>
          <w:szCs w:val="24"/>
          <w:lang w:val="ca-ES"/>
        </w:rPr>
        <w:lastRenderedPageBreak/>
        <w:t>les universitats i, per tant, són compatibles amb altres ajuts que el professorat pugui rebre de la UPC o d’altres institucions</w:t>
      </w:r>
      <w:r w:rsidR="00103A81">
        <w:rPr>
          <w:sz w:val="24"/>
          <w:szCs w:val="24"/>
          <w:lang w:val="ca-ES"/>
        </w:rPr>
        <w:t>, en tot cas, l’ajut financer no podrà ser utilitzat per cobrir despeses similars que es financin amb altres fons de la Unió Europea.</w:t>
      </w:r>
    </w:p>
    <w:p w:rsidR="00A334DB" w:rsidRDefault="00A334DB" w:rsidP="00C06719">
      <w:pPr>
        <w:jc w:val="both"/>
        <w:rPr>
          <w:sz w:val="24"/>
          <w:szCs w:val="24"/>
          <w:lang w:val="ca-ES"/>
        </w:rPr>
      </w:pPr>
    </w:p>
    <w:p w:rsidR="005B4736" w:rsidRDefault="005B4736" w:rsidP="00C06719">
      <w:pPr>
        <w:jc w:val="both"/>
        <w:rPr>
          <w:b/>
          <w:sz w:val="24"/>
          <w:szCs w:val="24"/>
          <w:lang w:val="ca-ES"/>
        </w:rPr>
      </w:pPr>
      <w:r w:rsidRPr="005B4736">
        <w:rPr>
          <w:b/>
          <w:sz w:val="24"/>
          <w:szCs w:val="24"/>
          <w:lang w:val="ca-ES"/>
        </w:rPr>
        <w:t>XIV.- INCIDÈNCIES</w:t>
      </w:r>
    </w:p>
    <w:p w:rsidR="005B4736" w:rsidRDefault="005B4736" w:rsidP="00C06719">
      <w:pPr>
        <w:jc w:val="both"/>
        <w:rPr>
          <w:sz w:val="24"/>
          <w:szCs w:val="24"/>
          <w:lang w:val="ca-ES"/>
        </w:rPr>
      </w:pPr>
      <w:r>
        <w:rPr>
          <w:sz w:val="24"/>
          <w:szCs w:val="24"/>
          <w:lang w:val="ca-ES"/>
        </w:rPr>
        <w:t>El Vicerector de Política Universitària pot dictar totes les normes complementàries que siguin necessàries per al normal desenvolupament del procediment i té atribuïda la potestat d’interpretació de les Bases quan sorgeixin dubtes sobre l’abast o significat d’algun dels seus preceptes.</w:t>
      </w:r>
    </w:p>
    <w:p w:rsidR="005B4736" w:rsidRDefault="005B4736" w:rsidP="00C06719">
      <w:pPr>
        <w:jc w:val="both"/>
        <w:rPr>
          <w:sz w:val="24"/>
          <w:szCs w:val="24"/>
          <w:lang w:val="ca-ES"/>
        </w:rPr>
      </w:pPr>
      <w:r>
        <w:rPr>
          <w:sz w:val="24"/>
          <w:szCs w:val="24"/>
          <w:lang w:val="ca-ES"/>
        </w:rPr>
        <w:t>El Vicerector de Política Universitària pot resoldre qualsevol altra qüestió o incidència que es pugui produir en el desenvolupament d’aquesta convocatòria.</w:t>
      </w:r>
    </w:p>
    <w:p w:rsidR="005B4736" w:rsidRDefault="005B4736" w:rsidP="00C06719">
      <w:pPr>
        <w:jc w:val="both"/>
        <w:rPr>
          <w:sz w:val="24"/>
          <w:szCs w:val="24"/>
          <w:lang w:val="ca-ES"/>
        </w:rPr>
      </w:pPr>
    </w:p>
    <w:p w:rsidR="005B4736" w:rsidRDefault="005B4736" w:rsidP="00C06719">
      <w:pPr>
        <w:jc w:val="both"/>
        <w:rPr>
          <w:b/>
          <w:sz w:val="24"/>
          <w:szCs w:val="24"/>
          <w:lang w:val="ca-ES"/>
        </w:rPr>
      </w:pPr>
      <w:r w:rsidRPr="005B4736">
        <w:rPr>
          <w:b/>
          <w:sz w:val="24"/>
          <w:szCs w:val="24"/>
          <w:lang w:val="ca-ES"/>
        </w:rPr>
        <w:t>XV.- PUBLICACIÓ</w:t>
      </w:r>
    </w:p>
    <w:p w:rsidR="005B4736" w:rsidRDefault="005B4736" w:rsidP="00C06719">
      <w:pPr>
        <w:jc w:val="both"/>
        <w:rPr>
          <w:sz w:val="24"/>
          <w:szCs w:val="24"/>
          <w:lang w:val="ca-ES"/>
        </w:rPr>
      </w:pPr>
      <w:r>
        <w:rPr>
          <w:sz w:val="24"/>
          <w:szCs w:val="24"/>
          <w:lang w:val="ca-ES"/>
        </w:rPr>
        <w:t>Aquesta convocatòria entrarà en vigor a partir de l’endemà de la seva publicació</w:t>
      </w:r>
      <w:r w:rsidR="009929EB">
        <w:rPr>
          <w:sz w:val="24"/>
          <w:szCs w:val="24"/>
          <w:lang w:val="ca-ES"/>
        </w:rPr>
        <w:t>.</w:t>
      </w:r>
      <w:r w:rsidR="000167E1">
        <w:rPr>
          <w:sz w:val="24"/>
          <w:szCs w:val="24"/>
          <w:lang w:val="ca-ES"/>
        </w:rPr>
        <w:br/>
      </w:r>
    </w:p>
    <w:p w:rsidR="005B4736" w:rsidRDefault="005B4736" w:rsidP="00C06719">
      <w:pPr>
        <w:jc w:val="both"/>
        <w:rPr>
          <w:b/>
          <w:sz w:val="24"/>
          <w:szCs w:val="24"/>
          <w:lang w:val="ca-ES"/>
        </w:rPr>
      </w:pPr>
      <w:r w:rsidRPr="005B4736">
        <w:rPr>
          <w:b/>
          <w:sz w:val="24"/>
          <w:szCs w:val="24"/>
          <w:lang w:val="ca-ES"/>
        </w:rPr>
        <w:t>XVI.- PROTECCIÓ DE DADES PERSONALS</w:t>
      </w:r>
    </w:p>
    <w:p w:rsidR="005B4736" w:rsidRDefault="005B4736" w:rsidP="00C06719">
      <w:pPr>
        <w:jc w:val="both"/>
        <w:rPr>
          <w:sz w:val="24"/>
          <w:szCs w:val="24"/>
          <w:lang w:val="ca-ES"/>
        </w:rPr>
      </w:pPr>
      <w:r>
        <w:rPr>
          <w:sz w:val="24"/>
          <w:szCs w:val="24"/>
          <w:lang w:val="ca-ES"/>
        </w:rPr>
        <w:t>La participació en la present convocatòria implica atorgar el consentiment exprés, per part de la persona beneficiària, perquè les seves dades personals siguin cedides per la Universitat Politècnica de Barcelona als organismes externs que regulen el programa, d’acord a l’article 11 de la Llei Orgànica 15/1999, de 13 de desembre, de Protecció de Dades de Caràcter Personal (BOE de 14 de desembre). El consentiment de la persona interessada per al tractament de le</w:t>
      </w:r>
      <w:r w:rsidR="009929EB">
        <w:rPr>
          <w:sz w:val="24"/>
          <w:szCs w:val="24"/>
          <w:lang w:val="ca-ES"/>
        </w:rPr>
        <w:t>s</w:t>
      </w:r>
      <w:r>
        <w:rPr>
          <w:sz w:val="24"/>
          <w:szCs w:val="24"/>
          <w:lang w:val="ca-ES"/>
        </w:rPr>
        <w:t xml:space="preserve"> seves dades personals, conforme a l’article 11 d’aquesta Llei, es considera atorgat a la Universitat Politècnica de Catalunya i als organismes corresponents només per a finalitats vinculades als programes de mobilitat Erasmus+.</w:t>
      </w:r>
      <w:r w:rsidR="000167E1">
        <w:rPr>
          <w:sz w:val="24"/>
          <w:szCs w:val="24"/>
          <w:lang w:val="ca-ES"/>
        </w:rPr>
        <w:br/>
      </w:r>
    </w:p>
    <w:p w:rsidR="005B4736" w:rsidRPr="00FB451F" w:rsidRDefault="005B4736" w:rsidP="00C06719">
      <w:pPr>
        <w:jc w:val="both"/>
        <w:rPr>
          <w:b/>
          <w:sz w:val="24"/>
          <w:szCs w:val="24"/>
          <w:lang w:val="ca-ES"/>
        </w:rPr>
      </w:pPr>
      <w:r w:rsidRPr="00FB451F">
        <w:rPr>
          <w:b/>
          <w:sz w:val="24"/>
          <w:szCs w:val="24"/>
          <w:lang w:val="ca-ES"/>
        </w:rPr>
        <w:t>XVII.- NORMATIVA APLICABLE</w:t>
      </w:r>
    </w:p>
    <w:p w:rsidR="005B4736" w:rsidRPr="005B4736" w:rsidRDefault="005B4736" w:rsidP="009929EB">
      <w:pPr>
        <w:rPr>
          <w:sz w:val="24"/>
          <w:szCs w:val="24"/>
          <w:lang w:val="ca-ES"/>
        </w:rPr>
      </w:pPr>
      <w:r>
        <w:rPr>
          <w:sz w:val="24"/>
          <w:szCs w:val="24"/>
          <w:lang w:val="ca-ES"/>
        </w:rPr>
        <w:t>Aquesta convocatòria està subjecta a allò establert al Contracte de Subvenció signat entre la Universitat Politècnica de Catalunya i l’Organismo Autónomo de Programas Educativos Europeos i a la Erasmus+ Programme Guide que en forma part i que es pot consultar al lloc web de l’OAPEE</w:t>
      </w:r>
      <w:r w:rsidR="00727CF1">
        <w:rPr>
          <w:sz w:val="24"/>
          <w:szCs w:val="24"/>
          <w:lang w:val="ca-ES"/>
        </w:rPr>
        <w:t>.</w:t>
      </w:r>
      <w:r>
        <w:rPr>
          <w:sz w:val="24"/>
          <w:szCs w:val="24"/>
          <w:lang w:val="ca-ES"/>
        </w:rPr>
        <w:t xml:space="preserve"> (http://www.oapee.es/oapee/inicio/ErasmusPlus/Convocatoria.html)</w:t>
      </w:r>
    </w:p>
    <w:p w:rsidR="00C06719" w:rsidRPr="00C06719" w:rsidRDefault="00C06719" w:rsidP="00C06719">
      <w:pPr>
        <w:jc w:val="both"/>
        <w:rPr>
          <w:sz w:val="24"/>
          <w:szCs w:val="24"/>
          <w:lang w:val="ca-ES"/>
        </w:rPr>
      </w:pPr>
    </w:p>
    <w:p w:rsidR="00C06719" w:rsidRPr="00C06719" w:rsidRDefault="00C06719" w:rsidP="00C06719">
      <w:pPr>
        <w:jc w:val="both"/>
        <w:rPr>
          <w:sz w:val="24"/>
          <w:szCs w:val="24"/>
          <w:lang w:val="ca-ES"/>
        </w:rPr>
      </w:pPr>
    </w:p>
    <w:sectPr w:rsidR="00C06719" w:rsidRPr="00C0671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E5" w:rsidRDefault="00C05FE5" w:rsidP="00281938">
      <w:pPr>
        <w:spacing w:after="0" w:line="240" w:lineRule="auto"/>
      </w:pPr>
      <w:r>
        <w:separator/>
      </w:r>
    </w:p>
  </w:endnote>
  <w:endnote w:type="continuationSeparator" w:id="0">
    <w:p w:rsidR="00C05FE5" w:rsidRDefault="00C05FE5" w:rsidP="0028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E5" w:rsidRDefault="00C05FE5" w:rsidP="00281938">
      <w:pPr>
        <w:spacing w:after="0" w:line="240" w:lineRule="auto"/>
      </w:pPr>
      <w:r>
        <w:separator/>
      </w:r>
    </w:p>
  </w:footnote>
  <w:footnote w:type="continuationSeparator" w:id="0">
    <w:p w:rsidR="00C05FE5" w:rsidRDefault="00C05FE5" w:rsidP="00281938">
      <w:pPr>
        <w:spacing w:after="0" w:line="240" w:lineRule="auto"/>
      </w:pPr>
      <w:r>
        <w:continuationSeparator/>
      </w:r>
    </w:p>
  </w:footnote>
  <w:footnote w:id="1">
    <w:p w:rsidR="00281938" w:rsidRDefault="00281938">
      <w:pPr>
        <w:pStyle w:val="Textdenotaapeudepgina"/>
      </w:pPr>
      <w:r>
        <w:rPr>
          <w:rStyle w:val="Refernciadenotaapeudepgina"/>
        </w:rPr>
        <w:footnoteRef/>
      </w:r>
      <w:r>
        <w:t xml:space="preserve"> </w:t>
      </w:r>
      <w:r w:rsidRPr="00281938">
        <w:t>Islandia, Liechtenstein, Noruega, antigua República Yugoslava de Macedonia o Turquía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48" w:rsidRDefault="00FD6A48">
    <w:pPr>
      <w:pStyle w:val="Capalera"/>
    </w:pPr>
    <w:r>
      <w:rPr>
        <w:rFonts w:ascii="Arial" w:hAnsi="Arial" w:cs="Arial"/>
        <w:b/>
        <w:noProof/>
        <w:lang w:eastAsia="es-ES"/>
      </w:rPr>
      <w:drawing>
        <wp:inline distT="0" distB="0" distL="0" distR="0" wp14:anchorId="28B96909" wp14:editId="6BFF4659">
          <wp:extent cx="2162175" cy="457200"/>
          <wp:effectExtent l="0" t="0" r="9525" b="0"/>
          <wp:docPr id="1" name="Imatge 1" descr="G:\ARI\ARI-Comu\DOCUMENTS D'ÚS GENERAL\LOGOS\logos UPC\logo nou 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4" descr="G:\ARI\ARI-Comu\DOCUMENTS D'ÚS GENERAL\LOGOS\logos UPC\logo nou positi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inline>
      </w:drawing>
    </w:r>
    <w:r>
      <w:ptab w:relativeTo="margin" w:alignment="center" w:leader="none"/>
    </w:r>
    <w:r>
      <w:rPr>
        <w:noProof/>
        <w:lang w:eastAsia="es-ES"/>
      </w:rPr>
      <w:drawing>
        <wp:inline distT="0" distB="0" distL="0" distR="0" wp14:anchorId="3B3ABA7F" wp14:editId="57115ED8">
          <wp:extent cx="2495550" cy="533400"/>
          <wp:effectExtent l="0" t="0" r="0" b="0"/>
          <wp:docPr id="2" name="Imatge 2" descr="http://www.oapee.es/oapee/inicio/ErasmusPlus/contentParagraphCentralAux/00/fichero/EU%20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apee.es/oapee/inicio/ErasmusPlus/contentParagraphCentralAux/00/fichero/EU%20flag-Erasmus+_vect_PO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533400"/>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BB7"/>
    <w:multiLevelType w:val="hybridMultilevel"/>
    <w:tmpl w:val="195EAA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862165"/>
    <w:multiLevelType w:val="hybridMultilevel"/>
    <w:tmpl w:val="9FB6915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0B2684"/>
    <w:multiLevelType w:val="hybridMultilevel"/>
    <w:tmpl w:val="56B61B7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3449E9"/>
    <w:multiLevelType w:val="hybridMultilevel"/>
    <w:tmpl w:val="0538B32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3EC4C11"/>
    <w:multiLevelType w:val="hybridMultilevel"/>
    <w:tmpl w:val="F66413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7F4566C"/>
    <w:multiLevelType w:val="hybridMultilevel"/>
    <w:tmpl w:val="576067C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F0"/>
    <w:rsid w:val="000167E1"/>
    <w:rsid w:val="00046CE1"/>
    <w:rsid w:val="00047C22"/>
    <w:rsid w:val="000628CD"/>
    <w:rsid w:val="000C1330"/>
    <w:rsid w:val="00103A81"/>
    <w:rsid w:val="0010613F"/>
    <w:rsid w:val="001749C7"/>
    <w:rsid w:val="00226890"/>
    <w:rsid w:val="00237168"/>
    <w:rsid w:val="002408ED"/>
    <w:rsid w:val="00281938"/>
    <w:rsid w:val="002D6077"/>
    <w:rsid w:val="002F26DD"/>
    <w:rsid w:val="00344BBD"/>
    <w:rsid w:val="00373851"/>
    <w:rsid w:val="003B152E"/>
    <w:rsid w:val="003C1666"/>
    <w:rsid w:val="003C4462"/>
    <w:rsid w:val="00410281"/>
    <w:rsid w:val="0042495C"/>
    <w:rsid w:val="00431E30"/>
    <w:rsid w:val="0049626E"/>
    <w:rsid w:val="004F407C"/>
    <w:rsid w:val="00510F9D"/>
    <w:rsid w:val="0051369E"/>
    <w:rsid w:val="00525087"/>
    <w:rsid w:val="005615CE"/>
    <w:rsid w:val="00586DAF"/>
    <w:rsid w:val="005B4736"/>
    <w:rsid w:val="005C704A"/>
    <w:rsid w:val="006165DE"/>
    <w:rsid w:val="00661587"/>
    <w:rsid w:val="00684D0C"/>
    <w:rsid w:val="0069583F"/>
    <w:rsid w:val="006B22F7"/>
    <w:rsid w:val="006B2593"/>
    <w:rsid w:val="00727CF1"/>
    <w:rsid w:val="00731E51"/>
    <w:rsid w:val="0078690C"/>
    <w:rsid w:val="00807281"/>
    <w:rsid w:val="008F2662"/>
    <w:rsid w:val="00935BD1"/>
    <w:rsid w:val="009919BA"/>
    <w:rsid w:val="009929EB"/>
    <w:rsid w:val="009A0D61"/>
    <w:rsid w:val="009E5E02"/>
    <w:rsid w:val="00A26C13"/>
    <w:rsid w:val="00A333FE"/>
    <w:rsid w:val="00A334DB"/>
    <w:rsid w:val="00A65FC1"/>
    <w:rsid w:val="00AC18AD"/>
    <w:rsid w:val="00AE3FCC"/>
    <w:rsid w:val="00B472BC"/>
    <w:rsid w:val="00B855DD"/>
    <w:rsid w:val="00BB7AE0"/>
    <w:rsid w:val="00BF1300"/>
    <w:rsid w:val="00C05FE5"/>
    <w:rsid w:val="00C06719"/>
    <w:rsid w:val="00C420F0"/>
    <w:rsid w:val="00C60499"/>
    <w:rsid w:val="00C90369"/>
    <w:rsid w:val="00CA3275"/>
    <w:rsid w:val="00DA30FF"/>
    <w:rsid w:val="00EA1690"/>
    <w:rsid w:val="00EA7BB8"/>
    <w:rsid w:val="00EC03F4"/>
    <w:rsid w:val="00ED4B33"/>
    <w:rsid w:val="00EF30FC"/>
    <w:rsid w:val="00F4719D"/>
    <w:rsid w:val="00F8338D"/>
    <w:rsid w:val="00FB451F"/>
    <w:rsid w:val="00FD6A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C420F0"/>
    <w:pPr>
      <w:ind w:left="720"/>
      <w:contextualSpacing/>
    </w:pPr>
  </w:style>
  <w:style w:type="table" w:styleId="Llistaclara">
    <w:name w:val="Light List"/>
    <w:basedOn w:val="Taulanormal"/>
    <w:uiPriority w:val="61"/>
    <w:rsid w:val="00047C22"/>
    <w:pPr>
      <w:spacing w:after="0" w:line="240" w:lineRule="auto"/>
    </w:pPr>
    <w:rPr>
      <w:rFonts w:eastAsiaTheme="minorEastAsia"/>
      <w:lang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deglobus">
    <w:name w:val="Balloon Text"/>
    <w:basedOn w:val="Normal"/>
    <w:link w:val="TextdeglobusCar"/>
    <w:uiPriority w:val="99"/>
    <w:semiHidden/>
    <w:unhideWhenUsed/>
    <w:rsid w:val="00047C2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47C22"/>
    <w:rPr>
      <w:rFonts w:ascii="Tahoma" w:hAnsi="Tahoma" w:cs="Tahoma"/>
      <w:sz w:val="16"/>
      <w:szCs w:val="16"/>
    </w:rPr>
  </w:style>
  <w:style w:type="character" w:styleId="Refernciadecomentari">
    <w:name w:val="annotation reference"/>
    <w:basedOn w:val="Tipusdelletraperdefectedelpargraf"/>
    <w:uiPriority w:val="99"/>
    <w:semiHidden/>
    <w:unhideWhenUsed/>
    <w:rsid w:val="00EF30FC"/>
    <w:rPr>
      <w:sz w:val="16"/>
      <w:szCs w:val="16"/>
    </w:rPr>
  </w:style>
  <w:style w:type="paragraph" w:styleId="Textdecomentari">
    <w:name w:val="annotation text"/>
    <w:basedOn w:val="Normal"/>
    <w:link w:val="TextdecomentariCar"/>
    <w:uiPriority w:val="99"/>
    <w:semiHidden/>
    <w:unhideWhenUsed/>
    <w:rsid w:val="00EF30FC"/>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EF30FC"/>
    <w:rPr>
      <w:sz w:val="20"/>
      <w:szCs w:val="20"/>
    </w:rPr>
  </w:style>
  <w:style w:type="paragraph" w:styleId="Temadelcomentari">
    <w:name w:val="annotation subject"/>
    <w:basedOn w:val="Textdecomentari"/>
    <w:next w:val="Textdecomentari"/>
    <w:link w:val="TemadelcomentariCar"/>
    <w:uiPriority w:val="99"/>
    <w:semiHidden/>
    <w:unhideWhenUsed/>
    <w:rsid w:val="00EF30FC"/>
    <w:rPr>
      <w:b/>
      <w:bCs/>
    </w:rPr>
  </w:style>
  <w:style w:type="character" w:customStyle="1" w:styleId="TemadelcomentariCar">
    <w:name w:val="Tema del comentari Car"/>
    <w:basedOn w:val="TextdecomentariCar"/>
    <w:link w:val="Temadelcomentari"/>
    <w:uiPriority w:val="99"/>
    <w:semiHidden/>
    <w:rsid w:val="00EF30FC"/>
    <w:rPr>
      <w:b/>
      <w:bCs/>
      <w:sz w:val="20"/>
      <w:szCs w:val="20"/>
    </w:rPr>
  </w:style>
  <w:style w:type="paragraph" w:styleId="Textdenotaapeudepgina">
    <w:name w:val="footnote text"/>
    <w:basedOn w:val="Normal"/>
    <w:link w:val="TextdenotaapeudepginaCar"/>
    <w:uiPriority w:val="99"/>
    <w:semiHidden/>
    <w:unhideWhenUsed/>
    <w:rsid w:val="00281938"/>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281938"/>
    <w:rPr>
      <w:sz w:val="20"/>
      <w:szCs w:val="20"/>
    </w:rPr>
  </w:style>
  <w:style w:type="character" w:styleId="Refernciadenotaapeudepgina">
    <w:name w:val="footnote reference"/>
    <w:basedOn w:val="Tipusdelletraperdefectedelpargraf"/>
    <w:uiPriority w:val="99"/>
    <w:semiHidden/>
    <w:unhideWhenUsed/>
    <w:rsid w:val="00281938"/>
    <w:rPr>
      <w:vertAlign w:val="superscript"/>
    </w:rPr>
  </w:style>
  <w:style w:type="paragraph" w:styleId="Capalera">
    <w:name w:val="header"/>
    <w:basedOn w:val="Normal"/>
    <w:link w:val="CapaleraCar"/>
    <w:uiPriority w:val="99"/>
    <w:unhideWhenUsed/>
    <w:rsid w:val="00FD6A4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D6A48"/>
  </w:style>
  <w:style w:type="paragraph" w:styleId="Peu">
    <w:name w:val="footer"/>
    <w:basedOn w:val="Normal"/>
    <w:link w:val="PeuCar"/>
    <w:uiPriority w:val="99"/>
    <w:unhideWhenUsed/>
    <w:rsid w:val="00FD6A4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D6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C420F0"/>
    <w:pPr>
      <w:ind w:left="720"/>
      <w:contextualSpacing/>
    </w:pPr>
  </w:style>
  <w:style w:type="table" w:styleId="Llistaclara">
    <w:name w:val="Light List"/>
    <w:basedOn w:val="Taulanormal"/>
    <w:uiPriority w:val="61"/>
    <w:rsid w:val="00047C22"/>
    <w:pPr>
      <w:spacing w:after="0" w:line="240" w:lineRule="auto"/>
    </w:pPr>
    <w:rPr>
      <w:rFonts w:eastAsiaTheme="minorEastAsia"/>
      <w:lang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deglobus">
    <w:name w:val="Balloon Text"/>
    <w:basedOn w:val="Normal"/>
    <w:link w:val="TextdeglobusCar"/>
    <w:uiPriority w:val="99"/>
    <w:semiHidden/>
    <w:unhideWhenUsed/>
    <w:rsid w:val="00047C2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47C22"/>
    <w:rPr>
      <w:rFonts w:ascii="Tahoma" w:hAnsi="Tahoma" w:cs="Tahoma"/>
      <w:sz w:val="16"/>
      <w:szCs w:val="16"/>
    </w:rPr>
  </w:style>
  <w:style w:type="character" w:styleId="Refernciadecomentari">
    <w:name w:val="annotation reference"/>
    <w:basedOn w:val="Tipusdelletraperdefectedelpargraf"/>
    <w:uiPriority w:val="99"/>
    <w:semiHidden/>
    <w:unhideWhenUsed/>
    <w:rsid w:val="00EF30FC"/>
    <w:rPr>
      <w:sz w:val="16"/>
      <w:szCs w:val="16"/>
    </w:rPr>
  </w:style>
  <w:style w:type="paragraph" w:styleId="Textdecomentari">
    <w:name w:val="annotation text"/>
    <w:basedOn w:val="Normal"/>
    <w:link w:val="TextdecomentariCar"/>
    <w:uiPriority w:val="99"/>
    <w:semiHidden/>
    <w:unhideWhenUsed/>
    <w:rsid w:val="00EF30FC"/>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EF30FC"/>
    <w:rPr>
      <w:sz w:val="20"/>
      <w:szCs w:val="20"/>
    </w:rPr>
  </w:style>
  <w:style w:type="paragraph" w:styleId="Temadelcomentari">
    <w:name w:val="annotation subject"/>
    <w:basedOn w:val="Textdecomentari"/>
    <w:next w:val="Textdecomentari"/>
    <w:link w:val="TemadelcomentariCar"/>
    <w:uiPriority w:val="99"/>
    <w:semiHidden/>
    <w:unhideWhenUsed/>
    <w:rsid w:val="00EF30FC"/>
    <w:rPr>
      <w:b/>
      <w:bCs/>
    </w:rPr>
  </w:style>
  <w:style w:type="character" w:customStyle="1" w:styleId="TemadelcomentariCar">
    <w:name w:val="Tema del comentari Car"/>
    <w:basedOn w:val="TextdecomentariCar"/>
    <w:link w:val="Temadelcomentari"/>
    <w:uiPriority w:val="99"/>
    <w:semiHidden/>
    <w:rsid w:val="00EF30FC"/>
    <w:rPr>
      <w:b/>
      <w:bCs/>
      <w:sz w:val="20"/>
      <w:szCs w:val="20"/>
    </w:rPr>
  </w:style>
  <w:style w:type="paragraph" w:styleId="Textdenotaapeudepgina">
    <w:name w:val="footnote text"/>
    <w:basedOn w:val="Normal"/>
    <w:link w:val="TextdenotaapeudepginaCar"/>
    <w:uiPriority w:val="99"/>
    <w:semiHidden/>
    <w:unhideWhenUsed/>
    <w:rsid w:val="00281938"/>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281938"/>
    <w:rPr>
      <w:sz w:val="20"/>
      <w:szCs w:val="20"/>
    </w:rPr>
  </w:style>
  <w:style w:type="character" w:styleId="Refernciadenotaapeudepgina">
    <w:name w:val="footnote reference"/>
    <w:basedOn w:val="Tipusdelletraperdefectedelpargraf"/>
    <w:uiPriority w:val="99"/>
    <w:semiHidden/>
    <w:unhideWhenUsed/>
    <w:rsid w:val="00281938"/>
    <w:rPr>
      <w:vertAlign w:val="superscript"/>
    </w:rPr>
  </w:style>
  <w:style w:type="paragraph" w:styleId="Capalera">
    <w:name w:val="header"/>
    <w:basedOn w:val="Normal"/>
    <w:link w:val="CapaleraCar"/>
    <w:uiPriority w:val="99"/>
    <w:unhideWhenUsed/>
    <w:rsid w:val="00FD6A4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D6A48"/>
  </w:style>
  <w:style w:type="paragraph" w:styleId="Peu">
    <w:name w:val="footer"/>
    <w:basedOn w:val="Normal"/>
    <w:link w:val="PeuCar"/>
    <w:uiPriority w:val="99"/>
    <w:unhideWhenUsed/>
    <w:rsid w:val="00FD6A4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D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2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A2A2-4C12-4F90-9A67-A18C0D1C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2042</Words>
  <Characters>11235</Characters>
  <Application>Microsoft Office Word</Application>
  <DocSecurity>0</DocSecurity>
  <Lines>93</Lines>
  <Paragraphs>26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UPCnet</cp:lastModifiedBy>
  <cp:revision>2</cp:revision>
  <cp:lastPrinted>2014-11-06T07:42:00Z</cp:lastPrinted>
  <dcterms:created xsi:type="dcterms:W3CDTF">2014-11-10T11:19:00Z</dcterms:created>
  <dcterms:modified xsi:type="dcterms:W3CDTF">2014-11-10T11:19:00Z</dcterms:modified>
</cp:coreProperties>
</file>